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SEIVerfMAusbV 2004 — Inkrafttreten, Außerkrafttreten</w:t>
      </w:r>
    </w:p>
    <w:p>
      <w:r>
        <w:rPr>
          <w:color w:val="555555"/>
          <w:sz w:val="18"/>
        </w:rPr>
        <w:t xml:space="preserve">Verordnung über die Berufsausbildung zum Verfahrensmechaniker/zur Verfahrensmechanikerin in der Steine- und Erdenindustrie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2004 in Kraft.</w:t>
      </w:r>
    </w:p>
    <w:p>
      <w:r>
        <w:rPr>
          <w:color w:val="555555"/>
          <w:sz w:val="17"/>
        </w:rPr>
        <w:t xml:space="preserve">Zitiervorschlag: § 10 SEIVerfMAusbV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https://recht.nulegal.eu/gesetze/SEIVerfMAusbV%202004/10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