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SEIVerfMAusbV 2004 — Staatliche Anerkennung des Ausbildungsberufes</w:t>
      </w:r>
    </w:p>
    <w:p>
      <w:r>
        <w:rPr>
          <w:color w:val="555555"/>
          <w:sz w:val="18"/>
        </w:rPr>
        <w:t xml:space="preserve">Verordnung über die Berufsausbildung zum Verfahrensmechaniker/zur Verfahrensmechanikerin in der Steine- und Erdenindustrie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Verfahrensmechaniker/Verfahrensmechanikerin in der Steine- und Erdenindustrie wird staatlich anerkannt.</w:t>
      </w:r>
    </w:p>
    <w:p>
      <w:r>
        <w:rPr>
          <w:color w:val="555555"/>
          <w:sz w:val="17"/>
        </w:rPr>
        <w:t xml:space="preserve">Zitiervorschlag: § 1 SEIVerfMAusbV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https://recht.nulegal.eu/gesetze/SEIVerfMAusbV%202004/1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