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SEGStatV</w:t>
      </w:r>
    </w:p>
    <w:p>
      <w:r>
        <w:rPr>
          <w:color w:val="555555"/>
          <w:sz w:val="18"/>
        </w:rPr>
        <w:t xml:space="preserve">SEG-Statistikverordnung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Auf Grund des § 79 Absatz 2 Satz 1 in Verbindung mit Absatz 1 des Soldatenentschädigungsgesetzes vom 20. August 2021 (BGBl. I S. 3932, 3933), verordnet das Bundesministerium der Verteidigung:</w:t>
      </w:r>
    </w:p>
    <w:p>
      <w:r>
        <w:rPr>
          <w:color w:val="555555"/>
          <w:sz w:val="17"/>
        </w:rPr>
        <w:t xml:space="preserve">Zitiervorschlag: Eingangsformel SEGStatV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https://recht.nulegal.eu/gesetze/SEGStatV/eingangsformel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