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SEGStatV — Inkrafttreten</w:t>
      </w:r>
    </w:p>
    <w:p>
      <w:r>
        <w:rPr>
          <w:color w:val="555555"/>
          <w:sz w:val="18"/>
        </w:rPr>
        <w:t xml:space="preserve">SEG-Statistikverordnung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Diese Verordnung tritt am 1. Januar 2025 in Kraft.</w:t>
      </w:r>
    </w:p>
    <w:p>
      <w:r>
        <w:rPr>
          <w:color w:val="555555"/>
          <w:sz w:val="17"/>
        </w:rPr>
        <w:t xml:space="preserve">Zitiervorschlag: § 6 SEGStatV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https://recht.nulegal.eu/gesetze/SEGStatV/6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