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SEGStatV — Aufbewahrungsfristen</w:t>
      </w:r>
    </w:p>
    <w:p>
      <w:r>
        <w:rPr>
          <w:color w:val="555555"/>
          <w:sz w:val="18"/>
        </w:rPr>
        <w:t xml:space="preserve">SEG-Statistikverordnung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nach § 3 Absatz 2 übermittelten Daten werden beim Bundesamt für das Personalmanagement der Bundeswehr zwei Jahre nach Ablauf des Kalenderjahres, indem sie übermittelt wurden, gelöscht.</w:t>
      </w:r>
    </w:p>
    <w:p>
      <w:r>
        <w:rPr>
          <w:color w:val="555555"/>
          <w:sz w:val="17"/>
        </w:rPr>
        <w:t xml:space="preserve">Zitiervorschlag: § 5 SEGStatV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https://recht.nulegal.eu/gesetze/SEGStatV/5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