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SEGStatV — Zu erhebende Daten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Zur Erstellung der amtlichen Statistik werden folgende Daten erhoben:</w:t>
      </w:r>
    </w:p>
    <w:p>
      <w:pPr>
        <w:ind w:left="420"/>
      </w:pPr>
      <w:r>
        <w:t xml:space="preserve">1. die Zahl der Leistungsempfängerinnen und Leistungsempfänger unterteilt nach den folgenden Empfängergruppen:</w:t>
      </w:r>
    </w:p>
    <w:p>
      <w:pPr>
        <w:ind w:left="780"/>
      </w:pPr>
      <w:r>
        <w:t xml:space="preserve">a) geschädigte Personen unterteilt nach dem Grad der Schädigungsfolgen,</w:t>
      </w:r>
    </w:p>
    <w:p>
      <w:pPr>
        <w:ind w:left="780"/>
      </w:pPr>
      <w:r>
        <w:t xml:space="preserve">b) Personen im Sinne des § 2 Absatz 4 bis 7 des Soldatenentschädigungsgesetzes sowie</w:t>
      </w:r>
    </w:p>
    <w:p>
      <w:pPr>
        <w:ind w:left="780"/>
      </w:pPr>
      <w:r>
        <w:t xml:space="preserve">c) Partnerinnen und Partner einer verfestigten Lebensgemeinschaft im Sinne des § 50 des Soldatenentschädigungsgesetzes und</w:t>
      </w:r>
    </w:p>
    <w:p>
      <w:pPr>
        <w:ind w:left="420"/>
      </w:pPr>
      <w:r>
        <w:t xml:space="preserve">2. die Höhe der Ausgaben im Haushaltsjahr.</w:t>
      </w:r>
    </w:p>
    <w:p>
      <w:r>
        <w:rPr>
          <w:color w:val="555555"/>
          <w:sz w:val="17"/>
        </w:rPr>
        <w:t xml:space="preserve">Zitiervorschlag: § 2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