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SEG — Ausgleichszahlung für Witwen und Witwer bei nicht schädigungsbedingtem Tod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Witwen und Witwer einer nicht schädigungsbedingt verstorbenen geschädigten Person erhalten eine monatliche Ausgleichszahlung, wenn</w:t>
      </w:r>
    </w:p>
    <w:p>
      <w:pPr>
        <w:ind w:left="420"/>
      </w:pPr>
      <w:r>
        <w:t xml:space="preserve">1. die Schädigung bereits vor dem 1. Januar 2025 eingetreten ist,</w:t>
      </w:r>
    </w:p>
    <w:p>
      <w:pPr>
        <w:ind w:left="420"/>
      </w:pPr>
      <w:r>
        <w:t xml:space="preserve">2. die Ehe bereits vor dem 1. Januar 2025 bestand,</w:t>
      </w:r>
    </w:p>
    <w:p>
      <w:pPr>
        <w:ind w:left="420"/>
      </w:pPr>
      <w:r>
        <w:t xml:space="preserve">3. die Witwe oder der Witwer keine monatliche Geldleistung nach § 83 Absatz 3 erhält und</w:t>
      </w:r>
    </w:p>
    <w:p>
      <w:pPr>
        <w:ind w:left="420"/>
      </w:pPr>
      <w:r>
        <w:t xml:space="preserve">4. die geschädigte Person Anspruch hatte</w:t>
      </w:r>
    </w:p>
    <w:p>
      <w:pPr>
        <w:ind w:left="780"/>
      </w:pPr>
      <w:r>
        <w:t xml:space="preserve">a) im Zeitpunkt ihres Todes</w:t>
      </w:r>
    </w:p>
    <w:p>
      <w:pPr>
        <w:ind w:left="1140"/>
      </w:pPr>
      <w:r>
        <w:t xml:space="preserve">aa) auf eine Leistung nach § 83 Absatz 1 oder § 11 Absatz 1, der ein Grad der Schädigungsfolgen von 100 zu Grunde liegt, oder</w:t>
      </w:r>
    </w:p>
    <w:p>
      <w:pPr>
        <w:ind w:left="1140"/>
      </w:pPr>
      <w:r>
        <w:t xml:space="preserve">bb) auf Pflegegeld nach § 17 oder</w:t>
      </w:r>
    </w:p>
    <w:p>
      <w:pPr>
        <w:ind w:left="780"/>
      </w:pPr>
      <w:r>
        <w:t xml:space="preserve">b) mindestens fünf Jahre auf Berufsschadensausgleich nach § 80 des Soldatenversorgungsgesetzes in der am 31. Dezember 2024 geltenden Fassung in Verbindung mit § 30 des Bundesversorgungsgesetzes in der am 31. Dezember 2023 geltenden Fassung oder nach § 82.</w:t>
      </w:r>
    </w:p>
    <w:p>
      <w:r>
        <w:t xml:space="preserve">(2) Die monatliche Ausgleichszahlung beträgt</w:t>
      </w:r>
    </w:p>
    <w:p>
      <w:pPr>
        <w:ind w:left="420"/>
      </w:pPr>
      <w:r>
        <w:t xml:space="preserve">1. für Witwen und Witwer von geschädigten Personen mit einem Grad der Schädigungsfolgen von unter 100: 500 Euro,</w:t>
      </w:r>
    </w:p>
    <w:p>
      <w:pPr>
        <w:ind w:left="420"/>
      </w:pPr>
      <w:r>
        <w:t xml:space="preserve">2. für Witwen und Witwer von geschädigten Personen mit einem Grad der Schädigungsfolgen von 100: 750 Euro.</w:t>
      </w:r>
    </w:p>
    <w:p>
      <w:r>
        <w:t xml:space="preserve">(3) Berechtigte nach Absatz 1 erhalten auf Antrag anstelle der monatlichen Ausgleichszahlung eine einmalige Abfindung. Der Antrag ist innerhalb eines Jahres nach Bewilligung der Ausgleichszahlung zu stellen.</w:t>
      </w:r>
    </w:p>
    <w:p>
      <w:r>
        <w:t xml:space="preserve">(4) Die Abfindung beträgt</w:t>
      </w:r>
    </w:p>
    <w:p>
      <w:pPr>
        <w:ind w:left="420"/>
      </w:pPr>
      <w:r>
        <w:t xml:space="preserve">1. bei einem Anspruch auf die monatliche Ausgleichszahlung nach Absatz 2 Nummer 1: 60 000 Euro,</w:t>
      </w:r>
    </w:p>
    <w:p>
      <w:pPr>
        <w:ind w:left="420"/>
      </w:pPr>
      <w:r>
        <w:t xml:space="preserve">2. bei einem Anspruch auf die monatliche Ausgleichszahlung nach Absatz 2 Nummer 2: 90 000 Euro.</w:t>
      </w:r>
    </w:p>
    <w:p>
      <w:r>
        <w:t xml:space="preserve">(5) Auf die Abfindung sind bereits geleistete monatliche Ausgleichszahlungen anzurechnen. Mit der Zahlung der Abfindung sind alle Ansprüche auf die monatlichen Ausgleichszahlungen bei nicht schädigungsbedingtem Tod abgegolten.</w:t>
      </w:r>
    </w:p>
    <w:p>
      <w:r>
        <w:rPr>
          <w:color w:val="555555"/>
          <w:sz w:val="17"/>
        </w:rPr>
        <w:t xml:space="preserve">Zitiervorschlag: § 89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