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SEG — Vorverfahren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§ 78 des Sozialgerichtsgesetzes gilt mit der Maßgabe, dass</w:t>
      </w:r>
    </w:p>
    <w:p>
      <w:pPr>
        <w:ind w:left="420"/>
      </w:pPr>
      <w:r>
        <w:t xml:space="preserve">1. es eines Vorverfahrens auch dann bedarf, wenn das Bundesministerium der Verteidigung den Verwaltungsakt erlassen hat,</w:t>
      </w:r>
    </w:p>
    <w:p>
      <w:pPr>
        <w:ind w:left="420"/>
      </w:pPr>
      <w:r>
        <w:t xml:space="preserve">2. das Bundesministerium der Verteidigung den Widerspruchsbescheid erlässt,</w:t>
      </w:r>
    </w:p>
    <w:p>
      <w:pPr>
        <w:ind w:left="420"/>
      </w:pPr>
      <w:r>
        <w:t xml:space="preserve">3. für Soldatinnen und Soldaten, solange sie sich in einem Wehrdienstverhältnis befinden, die Wehrbeschwerdeordnung anzuwenden ist und die Beschwerde keine aufschiebende Wirkung hat.</w:t>
      </w:r>
    </w:p>
    <w:p>
      <w:r>
        <w:t xml:space="preserve">(2) Das Bundesministerium der Verteidigung kann die Zuständigkeit für die Entscheidung im Rechtsbehelfsverfahren durch allgemeine Anordnung auf eine andere Behörde übertragen. Die Anordnung ist im Bundesgesetzblatt zu veröffentlichen.</w:t>
      </w:r>
    </w:p>
    <w:p>
      <w:r>
        <w:rPr>
          <w:color w:val="555555"/>
          <w:sz w:val="17"/>
        </w:rPr>
        <w:t xml:space="preserve">Zitiervorschlag: § 71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