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64 SEG — Pfändbarkeit von Ansprüchen</w:t>
      </w:r>
    </w:p>
    <w:p>
      <w:r>
        <w:rPr>
          <w:color w:val="555555"/>
          <w:sz w:val="18"/>
        </w:rPr>
        <w:t xml:space="preserve">Soldatenentschädigungsgesetz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Ansprüche auf Leistungen nach den §§ 11, 43 Absatz 1, §§ 44, 45, 50 und 83 Absatz 1 können nicht gepfändet werden.</w:t>
      </w:r>
    </w:p>
    <w:p>
      <w:r>
        <w:rPr>
          <w:color w:val="555555"/>
          <w:sz w:val="17"/>
        </w:rPr>
        <w:t xml:space="preserve">Zitiervorschlag: § 64 SEG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https://recht.nulegal.eu/gesetze/SEG/64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