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SEG — Grad der Schädigungsfolgen</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Ist für eine geschädigte Person die Schädigungsfolge anerkannt worden, so wird für sie der Grad der Schädigungsfolgen festgesetzt.</w:t>
      </w:r>
    </w:p>
    <w:p>
      <w:r>
        <w:t xml:space="preserve">(2) Der Grad der Schädigungsfolgen ist nach den allgemeinen Auswirkungen der körperlichen, seelischen, geistigen oder Sinnesbeeinträchtigungen, die durch die Schädigungsfolge bedingt sind, in allen Lebensbereichen zu beurteilen. Er ist nach Zehnerwerten von 10 bis 100 zu bemessen. Ein bis zu 5 Grad geringerer Grad der Schädigungsfolgen wird vom höheren Zehnergrad mit umfasst. Bei geschädigten Kindern und Jugendlichen ist der Grad der Schädigungsfolgen nach dem Grad zu bemessen, der sich bei Erwachsenen mit gleichen Schädigungsfolgen ergibt, soweit damit keine Schlechterstellung der Kinder und Jugendlichen verbunden ist.</w:t>
      </w:r>
    </w:p>
    <w:p>
      <w:r>
        <w:t xml:space="preserve">(3) Vorübergehende sekundäre Gesundheitsstörungen sind nicht zu berücksichtigen; als vorübergehend gilt ein Zeitraum von bis zu sechs Monaten.</w:t>
      </w:r>
    </w:p>
    <w:p>
      <w:r>
        <w:t xml:space="preserve">(4) Ist bei der geschädigten Person neben einer Schädigungsfolge auf Grund einer Wehrdienstbeschädigung auch eine Schädigungsfolge auf Grund eines schädigenden Ereignisses nach dem Vierzehnten Buch Sozialgesetzbuch oder nach einem Gesetz, welches die Anwendung des Vierzehnten Buches Sozialgesetzbuch vorsieht, anerkannt worden, so ist ein einheitlicher Grad der Schädigungsfolgen festzusetzen.</w:t>
      </w:r>
    </w:p>
    <w:p>
      <w:r>
        <w:t xml:space="preserve">(5) Das Bundesministerium der Verteidigung wird ermächtigt, durch Rechtsverordnung ohne Zustimmung des Bundesrates Folgendes zu regeln:</w:t>
      </w:r>
    </w:p>
    <w:p>
      <w:pPr>
        <w:ind w:left="420"/>
      </w:pPr>
      <w:r>
        <w:t xml:space="preserve">1. die Grundsätze für die Beurteilung und Bemessung des Grades der Schädigungsfolgen im Sinne des Absatzes 2,</w:t>
      </w:r>
    </w:p>
    <w:p>
      <w:pPr>
        <w:ind w:left="420"/>
      </w:pPr>
      <w:r>
        <w:t xml:space="preserve">2. die Grundsätze für die Anerkennung einer sekundären Gesundheitsstörung als Schädigungsfolge sowie</w:t>
      </w:r>
    </w:p>
    <w:p>
      <w:pPr>
        <w:ind w:left="420"/>
      </w:pPr>
      <w:r>
        <w:t xml:space="preserve">3. das Verfahren für die Fortentwicklung der in den Nummern 1 und 2 genannten Grundsätze.</w:t>
      </w:r>
    </w:p>
    <w:p>
      <w:r>
        <w:rPr>
          <w:color w:val="555555"/>
          <w:sz w:val="17"/>
        </w:rPr>
        <w:t xml:space="preserve">Zitiervorschlag: § 6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