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SEG — Ausgleich in Härtefällen</w:t>
      </w:r>
    </w:p>
    <w:p>
      <w:r>
        <w:rPr>
          <w:color w:val="555555"/>
          <w:sz w:val="18"/>
        </w:rPr>
        <w:t xml:space="preserve">Soldatenentschädigungsgesetz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Soweit sich im Einzelfall bei Vorliegen der anerkannten Schädigungsfolge aus der Anwendung dieses Gesetzes eine besondere Härte ergibt, kann mit Zustimmung des Bundesministeriums der Verteidigung ein angemessener Ausgleich erbracht werden.</w:t>
      </w:r>
    </w:p>
    <w:p>
      <w:r>
        <w:t xml:space="preserve">(2) Eine besondere Härte ist gegeben, wenn der Ausschluss von Leistungen insgesamt oder der Ausschluss von einzelnen Leistungen dem Sinn und Zweck dieses Gesetzes widerspricht.</w:t>
      </w:r>
    </w:p>
    <w:p>
      <w:r>
        <w:t xml:space="preserve">(3) Das Bundesministerium der Verteidigung kann Härteausgleichen in gleichgelagerten Fallgestaltungen allgemein zustimmen.</w:t>
      </w:r>
    </w:p>
    <w:p>
      <w:r>
        <w:rPr>
          <w:color w:val="555555"/>
          <w:sz w:val="17"/>
        </w:rPr>
        <w:t xml:space="preserve">Zitiervorschlag: § 57 SEG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https://recht.nulegal.eu/gesetze/SEG/57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