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SEG — Schadensersatz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Geschädigte Personen haben auf Grund der anerkannten Schädigungsfolge gegen den Bund nur die auf diesem Gesetz beruhenden Ansprüche.</w:t>
      </w:r>
    </w:p>
    <w:p>
      <w:r>
        <w:t xml:space="preserve">(2) Weitergehende Ansprüche nach allgemeinen gesetzlichen Vorschriften können gegen einen öffentlich-rechtlichen Dienstherrn im Bundesgebiet oder gegen die in seinem Dienst stehenden Personen nur dann geltend gemacht werden, wenn die als Schädigungsfolge anerkannte Gesundheitsstörung</w:t>
      </w:r>
    </w:p>
    <w:p>
      <w:pPr>
        <w:ind w:left="420"/>
      </w:pPr>
      <w:r>
        <w:t xml:space="preserve">1. durch eine vorsätzliche unerlaubte Handlung einer solchen Person verursacht worden ist oder</w:t>
      </w:r>
    </w:p>
    <w:p>
      <w:pPr>
        <w:ind w:left="420"/>
      </w:pPr>
      <w:r>
        <w:t xml:space="preserve">2. bei der Teilnahme am allgemeinen Verkehr eingetreten ist.</w:t>
      </w:r>
    </w:p>
    <w:p>
      <w:r>
        <w:t xml:space="preserve">(3) Im Fall des Absatzes 2 Nummer 2 sind Leistungen nach diesem Gesetz auf die weitergehenden Ansprüche anzurechnen.</w:t>
      </w:r>
    </w:p>
    <w:p>
      <w:r>
        <w:t xml:space="preserve">(4) Ersatzansprüche gegen andere Personen sowie nach § 31a des Soldatengesetzes bleiben unberührt.</w:t>
      </w:r>
    </w:p>
    <w:p>
      <w:r>
        <w:rPr>
          <w:color w:val="555555"/>
          <w:sz w:val="17"/>
        </w:rPr>
        <w:t xml:space="preserve">Zitiervorschlag: § 53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