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SEG — Erstattung von Kosten für psychotherapeutische Leistungen in besonderen Fällen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Angehörigen und Hinterbliebenen werden die Kosten für psychotherapeutische Leistungen in angemessenem Umfang erstattet, wenn</w:t>
      </w:r>
    </w:p>
    <w:p>
      <w:pPr>
        <w:ind w:left="420"/>
      </w:pPr>
      <w:r>
        <w:t xml:space="preserve">1. die Leistungen zum Ausgleich psychischer Beeinträchtigungen, die mittelbar auf die für die Soldatin oder den Soldaten anerkannte Schädigungsfolge zurückzuführen sind, oder zur Erreichung oder Sicherung des Behandlungserfolgs notwendig sind und</w:t>
      </w:r>
    </w:p>
    <w:p>
      <w:pPr>
        <w:ind w:left="420"/>
      </w:pPr>
      <w:r>
        <w:t xml:space="preserve">2. der zuständige Leistungsträger oder das private Krankenversicherungsunternehmen seine Leistungspflicht verneint hat.</w:t>
      </w:r>
    </w:p>
    <w:p>
      <w:r>
        <w:t xml:space="preserve">(2) § 26 Absatz 1 Satz 3 gilt entsprechend.</w:t>
      </w:r>
    </w:p>
    <w:p>
      <w:r>
        <w:rPr>
          <w:color w:val="555555"/>
          <w:sz w:val="17"/>
        </w:rPr>
        <w:t xml:space="preserve">Zitiervorschlag: § 51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