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SEG — Anspruchsvoraussetzungen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Ist der Tod der geschädigten Person Folge einer Wehrdienstbeschädigung oder stirbt die geschädigte Person an der anerkannten Schädigungsfolge, erhalten die Hinterbliebenen Leistungen nach diesem Kapitel.</w:t>
      </w:r>
    </w:p>
    <w:p>
      <w:r>
        <w:t xml:space="preserve">(2) Der Tod gilt als Schädigungsfolge, wenn die geschädigte Person an einer Gesundheitsstörung verstirbt, für die zum Zeitpunkt des Versterbens Ausgleich für gesundheitliche Schädigungsfolgen gewährt wurde.</w:t>
      </w:r>
    </w:p>
    <w:p>
      <w:r>
        <w:rPr>
          <w:color w:val="555555"/>
          <w:sz w:val="17"/>
        </w:rPr>
        <w:t xml:space="preserve">Zitiervorschlag: § 42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