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SEG — Besondere Fallgestaltungen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Als Wehrdienstbeschädigung gilt die bei einer Verwendung im Ausland außerhalb des Dienstes erlittene primäre Gesundheitsstörung, wenn sie verursacht worden ist durch</w:t>
      </w:r>
    </w:p>
    <w:p>
      <w:pPr>
        <w:ind w:left="420"/>
      </w:pPr>
      <w:r>
        <w:t xml:space="preserve">1. vom Inland wesentlich abweichende Verhältnisse während einer besonderen Verwendung nach § 87 Absatz 1 des Soldatenversorgungsgesetzes oder</w:t>
      </w:r>
    </w:p>
    <w:p>
      <w:pPr>
        <w:ind w:left="420"/>
      </w:pPr>
      <w:r>
        <w:t xml:space="preserve">2. einen Unfall oder eine Erkrankung im Zusammenhang mit einer Verschleppung oder einer Gefangenschaft in dem ausländischen Staat, in dem die Soldatin oder der Soldat verwendet wird, oder den Umstand, dass die Soldatin oder der Soldat aus sonstigen, mit dem Dienst zusammenhängenden Gründen, die sie oder er nicht zu vertreten hat, dem Einflussbereich des Dienstherrn entzogen ist, oder</w:t>
      </w:r>
    </w:p>
    <w:p>
      <w:pPr>
        <w:ind w:left="420"/>
      </w:pPr>
      <w:r>
        <w:t xml:space="preserve">3. einen gegen die Soldatin oder den Soldaten oder eine andere Person gerichteten vorsätzlichen, rechtswidrigen tätlichen Angriff oder durch dessen rechtmäßige Abwehr; einem tätlichen Angriff steht die vorsätzliche Beibringung von Gift sowie die wenigstens fahrlässige Herbeiführung einer Gefahr für Leib und Leben eines anderen durch ein mit gemeingefährlichen Mitteln begangenes Verbrechen gleich.</w:t>
      </w:r>
    </w:p>
    <w:p>
      <w:r>
        <w:t xml:space="preserve">Satz 1 Nummer 3 gilt auch, wenn sich der tätliche Angriff oder dessen rechtmäßige Abwehr auf dem Hinweg ins Ausland oder auf dem Rückweg ereignet.</w:t>
      </w:r>
    </w:p>
    <w:p>
      <w:r>
        <w:t xml:space="preserve">(2) Als Wehrdienstbeschädigung gilt auch, wenn</w:t>
      </w:r>
    </w:p>
    <w:p>
      <w:pPr>
        <w:ind w:left="420"/>
      </w:pPr>
      <w:r>
        <w:t xml:space="preserve">1. die Soldatin oder der Soldat zur Wahrnehmung einer Tätigkeit, die öffentlichen Belangen oder dienstlichen Interessen dient, vom Wehrdienst beurlaubt wird und auf Grund dieser Tätigkeit, durch einen Unfall während der Ausübung dieser Tätigkeit oder auf dem jeweils erforderlichen Hin- und Rückweg eine primäre Gesundheitsstörung erleidet,</w:t>
      </w:r>
    </w:p>
    <w:p>
      <w:pPr>
        <w:ind w:left="420"/>
      </w:pPr>
      <w:r>
        <w:t xml:space="preserve">2. eine nicht nach § 2 Absatz 1 Nummer 1 oder Nummer 9 des Siebten Buches Sozialgesetzbuch versicherte Begleitperson einer geschädigten Person im Falle von § 3 Absatz 3 einen Unfall und dadurch eine primäre Gesundheitsstörung erleidet,</w:t>
      </w:r>
    </w:p>
    <w:p>
      <w:pPr>
        <w:ind w:left="420"/>
      </w:pPr>
      <w:r>
        <w:t xml:space="preserve">3. Angehörige oder andere zur häuslichen Gemeinschaft der Soldatin oder des Soldaten gehörende Personen, die in dem ausländischen Staat, in dem die Soldatin oder der Soldat verwendet wird, oder auf dem Hin- und Rückweg infolge eines gegen sie oder eine andere Person gerichteten vorsätzlichen, rechtswidrigen tätlichen Angriffs oder durch dessen rechtmäßige Abwehr eine primäre Gesundheitsstörung erleiden,</w:t>
      </w:r>
    </w:p>
    <w:p>
      <w:pPr>
        <w:ind w:left="420"/>
      </w:pPr>
      <w:r>
        <w:t xml:space="preserve">4. das Kind einer Soldatin durch eine Wehrdienstbeschädigung der Mutter während der Schwangerschaft unmittelbar eine primäre Gesundheitsstörung erleidet.</w:t>
      </w:r>
    </w:p>
    <w:p>
      <w:r>
        <w:t xml:space="preserve">(3) Absatz 1 Satz 1 Nummer 3 und Absatz 2 Nummer 1 bis 3 gelten nicht, soweit in diesen Fällen Ansprüche nach anderen gesetzlichen Regelungen bestehen oder Leistungen von anderer Seite gewährt werden. Schadensersatzansprüche auf Grund fahrlässiger Amtspflichtverletzung nach § 839 Absatz 1 des Bürgerlichen Gesetzbuchs sind nicht ausgeschlossen.</w:t>
      </w:r>
    </w:p>
    <w:p>
      <w:r>
        <w:rPr>
          <w:color w:val="555555"/>
          <w:sz w:val="17"/>
        </w:rPr>
        <w:t xml:space="preserve">Zitiervorschlag: § 4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