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SEG — Referenzeinkommen</w:t>
      </w:r>
    </w:p>
    <w:p>
      <w:r>
        <w:rPr>
          <w:color w:val="555555"/>
          <w:sz w:val="18"/>
        </w:rPr>
        <w:t xml:space="preserve">Soldatenentschädigungsgesetz</w:t>
      </w:r>
    </w:p>
    <w:p>
      <w:r>
        <w:rPr>
          <w:color w:val="555555"/>
          <w:sz w:val="18"/>
        </w:rPr>
        <w:t xml:space="preserve">Stand: 01.07.2026 (konsolidierte Textfassung, kein amtliches Inkrafttretensdatum)</w:t>
      </w:r>
    </w:p>
    <w:p>
      <w:r>
        <w:t xml:space="preserve">(1) Das monatliche Referenzeinkommen beträgt bei einer geschädigten Person</w:t>
      </w:r>
    </w:p>
    <w:p>
      <w:pPr>
        <w:ind w:left="420"/>
      </w:pPr>
      <w:r>
        <w:t xml:space="preserve">1. ohne abgeschlossene Schulausbildung 2 398 Euro,</w:t>
      </w:r>
    </w:p>
    <w:p>
      <w:pPr>
        <w:ind w:left="420"/>
      </w:pPr>
      <w:r>
        <w:t xml:space="preserve">2. ohne abgeschlossene Berufsausbildung 2 480 Euro,</w:t>
      </w:r>
    </w:p>
    <w:p>
      <w:pPr>
        <w:ind w:left="420"/>
      </w:pPr>
      <w:r>
        <w:t xml:space="preserve">3. mit abgeschlossener Berufsausbildung 2 825 Euro,</w:t>
      </w:r>
    </w:p>
    <w:p>
      <w:pPr>
        <w:ind w:left="420"/>
      </w:pPr>
      <w:r>
        <w:t xml:space="preserve">4. mit Techniker- oder Meisterprüfung 3 313 Euro,</w:t>
      </w:r>
    </w:p>
    <w:p>
      <w:pPr>
        <w:ind w:left="420"/>
      </w:pPr>
      <w:r>
        <w:t xml:space="preserve">5. mit einem Bachelor- oder vergleichbaren Hochschulabschluss 4 140 Euro und</w:t>
      </w:r>
    </w:p>
    <w:p>
      <w:pPr>
        <w:ind w:left="420"/>
      </w:pPr>
      <w:r>
        <w:t xml:space="preserve">6. mit einem Master- oder vergleichbaren Hochschulabschluss 5 501 Euro.</w:t>
      </w:r>
    </w:p>
    <w:p>
      <w:r>
        <w:t xml:space="preserve">Die Zuordnung des monatlichen Referenzeinkommens zu der geschädigten Person erfolgt anhand der Verhältnisse vor der erstmaligen Auswirkung der Schädigungsfolgen.</w:t>
      </w:r>
    </w:p>
    <w:p>
      <w:r>
        <w:t xml:space="preserve">(2) Hat eine geschädigte Person in dem Beruf, den sie vor der Auswirkung der Schädigungsfolge ausgeübt hat, ein höheres Einkommen als das nach Absatz 1 festgelegte Referenzeinkommen erzielt, ist als Referenzeinkommen das vor der Auswirkung der Schädigungsfolge in den letzten zwölf Monaten oder, wenn dies günstiger ist, in den letzten 36 Monaten vor der Auswirkung der Schädigungsfolgen regelmäßig erzielte und nach § 38 zu ermittelnde Einkommen, höchstens jedoch 6 920 Euro, zugrunde zu legen. Bei monatlich feststehendem Einkommen wird auf die Ermittlung eines durchschnittlichen Einkommens verzichtet, wenn dies günstiger ist.</w:t>
      </w:r>
    </w:p>
    <w:p>
      <w:r>
        <w:t xml:space="preserve">(3) Wirkt sich die anerkannte Schädigungsfolge vor dem Abschluss einer Berufs- oder Hochschulausbildung auf die Fähigkeit aus, eine solche zu absolvieren, wird das Referenzeinkommen wie folgt festgesetzt: Bei geschädigten Personen,</w:t>
      </w:r>
    </w:p>
    <w:p>
      <w:pPr>
        <w:ind w:left="420"/>
      </w:pPr>
      <w:r>
        <w:t xml:space="preserve">1. die über das Zeugnis der Hauptschule, den qualifizierendenden Hauptschulabschluss oder über einen als gleichwertig anerkannten Bildungsstand verfügen, zunächst nach Absatz 1 Nummer 2 und nach Ablauf von drei Jahren nach Absatz 1 Nummer 3,</w:t>
      </w:r>
    </w:p>
    <w:p>
      <w:pPr>
        <w:ind w:left="420"/>
      </w:pPr>
      <w:r>
        <w:t xml:space="preserve">2. die über das Zeugnis der Realschule oder über einen als gleichwertig anerkannten Bildungsstand verfügen, zunächst nach Absatz 1 Nummer 2, nach Ablauf von drei Jahren nach Absatz 1 Nummer 3 und nach Ablauf von weiteren sechs Jahren nach Absatz 1 Nummer 4,</w:t>
      </w:r>
    </w:p>
    <w:p>
      <w:pPr>
        <w:ind w:left="420"/>
      </w:pPr>
      <w:r>
        <w:t xml:space="preserve">3. die über das Zeugnis der allgemeinen Hochschulreife, der fachgebundenen Hochschulreife, der Fachhochschulreife oder über einen als gleichwertig anerkannten Bildungsstand verfügen, zunächst nach Absatz 1 Nummer 2, nach Ablauf von drei Jahren nach Absatz 1 Nummer 4 und nach Ablauf von weiteren sechs Jahren nach Absatz 1 Nummer 5.</w:t>
      </w:r>
    </w:p>
    <w:p>
      <w:r>
        <w:t xml:space="preserve">Die Ermittlung des Referenzeinkommens nach Absatz 2 bleibt unberührt.</w:t>
      </w:r>
    </w:p>
    <w:p>
      <w:r>
        <w:t xml:space="preserve">(4) Das Referenzeinkommen wird mit einem Anpassungsfaktor an die Veränderung der Bruttolöhne und -gehälter je Arbeitnehmer angepasst. Bruttolöhne und -gehälter je Arbeitnehmer sind die durch das Statistische Bundesamt ermittelten Bruttolöhne und -gehälter je Arbeitnehmer ohne Personen in Arbeitsgelegenheiten mit Entschädigungen für Mehraufwendungen jeweils nach der Systematik der Volkswirtschaftlichen Gesamtrechnungen (§ 68 Absatz 2 Satz 1 des Sechsten Buches Sozialgesetzbuch). Der Anpassungsfaktor für die Veränderung der Bruttolöhne und -gehälter je Arbeitnehmer wird ermittelt, indem deren Wert für das vergangene Kalenderjahr durch den Wert für das vorvergangene Kalenderjahr geteilt wird. § 68 Absatz 7 und § 121 Absatz 1 des Sechsten Buches Sozialgesetzbuch gelten entsprechend. Eine Minderung des aktuellen Referenzeinkommens erfolgt nicht.</w:t>
      </w:r>
    </w:p>
    <w:p>
      <w:r>
        <w:t xml:space="preserve">(5) Die Anpassung erfolgt durch Rechtsverordnung des Bundesministeriums der Verteidigung, die nicht der Zustimmung des Bundesrates bedarf, jeweils zum gleichen Zeitpunkt, zu dem die Renten der gesetzlichen Rentenversicherung angepasst werden.</w:t>
      </w:r>
    </w:p>
    <w:p>
      <w:r>
        <w:rPr>
          <w:color w:val="555555"/>
          <w:sz w:val="17"/>
        </w:rPr>
        <w:t xml:space="preserve">Zitiervorschlag: § 39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