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SEG — Leistungen zur Überwindung besonderer sozialer Schwierigkeiten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Geschädigte Personen, bei denen auf Grund der anerkannten Schädigungsfolge eine besondere Lebenslage vorliegt, die mit sozialen Schwierigkeiten verbunden ist, können Leistungen zur Überwindung dieser Schwierigkeiten erhalten, wenn sie aus eigener Kraft hierzu nicht fähig sind. Soweit der Bedarf durch Leistungen nach anderen Vorschriften gedeckt wird, gehen diese der Leistung nach Satz 1 vor.</w:t>
      </w:r>
    </w:p>
    <w:p>
      <w:r>
        <w:t xml:space="preserve">(2) Die Leistungen umfassen alle Maßnahmen, die notwendig sind, um die Schwierigkeiten abzuwenden, zu beseitigen, zu mildern oder ihre Verschlimmerung zu verhüten, insbesondere Beratung und persönliche Betreuung der geschädigten Person. Die §§ 68 und 69 des Zwölften Buches Sozialgesetzbuch gelten entsprechend.</w:t>
      </w:r>
    </w:p>
    <w:p>
      <w:r>
        <w:rPr>
          <w:color w:val="555555"/>
          <w:sz w:val="17"/>
        </w:rPr>
        <w:t xml:space="preserve">Zitiervorschlag: § 35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