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SEG — Leistungen der Eingliederungshilfe</w:t>
      </w:r>
    </w:p>
    <w:p>
      <w:r>
        <w:rPr>
          <w:color w:val="555555"/>
          <w:sz w:val="18"/>
        </w:rPr>
        <w:t xml:space="preserve">Soldatenentschädigungsgesetz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Geschädigte Personen, die auf Grund der anerkannten Schädigungsfolge Eingliederungshilfe benötigen, erhalten die Leistungen der Eingliederungshilfe nach Teil 2 Kapitel 1, 2 und 6 des Neunten Buches Sozialgesetzbuch, soweit dieses Gesetz keine abweichende Regelung trifft. Die Leistungen der Eingliederungshilfe gehen anderen Leistungen nach diesem Gesetz nach.</w:t>
      </w:r>
    </w:p>
    <w:p>
      <w:r>
        <w:rPr>
          <w:color w:val="555555"/>
          <w:sz w:val="17"/>
        </w:rPr>
        <w:t xml:space="preserve">Zitiervorschlag: § 34 SEG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https://recht.nulegal.eu/gesetze/SEG/34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