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30 SEG — Übergangsgeld bei Leistungen zur Teilhabe am Arbeitsleben</w:t>
      </w:r>
    </w:p>
    <w:p>
      <w:r>
        <w:rPr>
          <w:color w:val="555555"/>
          <w:sz w:val="18"/>
        </w:rPr>
        <w:t xml:space="preserve">Soldatenentschädigungsgesetz</w:t>
      </w:r>
    </w:p>
    <w:p>
      <w:r>
        <w:rPr>
          <w:color w:val="555555"/>
          <w:sz w:val="18"/>
        </w:rPr>
        <w:t xml:space="preserve">Stand: 04.01.2025 (konsolidierte Textfassung, kein amtliches Inkrafttretensdatum)</w:t>
      </w:r>
    </w:p>
    <w:p>
      <w:r>
        <w:t xml:space="preserve">(1) Geschädigte Personen, die sich nicht in einem Wehrdienstverhältnis befinden, erhalten Übergangsgeld für die Dauer einer Maßnahme zur Teilhabe am Arbeitsleben nach diesem Gesetz.</w:t>
      </w:r>
    </w:p>
    <w:p>
      <w:r>
        <w:t xml:space="preserve">(2) Für die Höhe und die Berechnung des Übergangsgeldes gilt § 20 entsprechend. Schließt sich eine Maßnahme nach Kapitel 4 unmittelbar an den Bezug von Krankengeld der Soldatenentschädigung an, entspricht die Höhe des Übergangsgeldes der Höhe des zuletzt gezahlten Krankengeldes der Soldatenentschädigung.</w:t>
      </w:r>
    </w:p>
    <w:p>
      <w:r>
        <w:t xml:space="preserve">(3) Wird die geschädigte Person während einer Maßnahme zur Teilhabe am Arbeitsleben infolge der anerkannten Schädigungsfolge arbeitsunfähig, wird Krankengeld der Soldatenentschädigung in der Höhe des Übergangsgeldes gewährt.</w:t>
      </w:r>
    </w:p>
    <w:p>
      <w:r>
        <w:t xml:space="preserve">(4) § 71 Absatz 1 bis 3 und § 72 des Neunten Buches Sozialgesetzbuch gelten entsprechend.</w:t>
      </w:r>
    </w:p>
    <w:p>
      <w:r>
        <w:rPr>
          <w:color w:val="555555"/>
          <w:sz w:val="17"/>
        </w:rPr>
        <w:t xml:space="preserve">Zitiervorschlag: § 30 SEG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https://recht.nulegal.eu/gesetze/SEG/30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