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SEG — Krankengeld der Soldatenentschädigung</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Geschädigte Personen, die infolge der anerkannten Schädigungsfolge arbeitsunfähig sind, erhalten Krankengeld der Soldatenentschädigung. Die geschädigte Person hat das Vorliegen der Arbeitsunfähigkeit nachzuweisen.</w:t>
      </w:r>
    </w:p>
    <w:p>
      <w:r>
        <w:t xml:space="preserve">(2) Arbeitsunfähigkeit liegt vor, wenn die geschädigte Person auf Grund der anerkannten Schädigungsfolge ihre zuletzt vor der Arbeitsunfähigkeit ausgeübte Erwerbstätigkeit nicht mehr oder nur unter der Gefahr der Verschlimmerung des Gesundheitszustands ausführen kann.</w:t>
      </w:r>
    </w:p>
    <w:p>
      <w:r>
        <w:t xml:space="preserve">(3) Frühere Soldatinnen und frühere Soldaten, die nach Beendigung des Wehrdienstverhältnisses infolge der anerkannten Schädigungsfolge arbeitsunfähig sind und vor Beginn des Wehrdienstverhältnisses keine Erwerbstätigkeit ausgeübt haben, gelten auch dann als arbeitsunfähig, wenn sie nicht oder nur mit der Gefahr einer Verschlimmerung des Gesundheitszustands fähig sind, einer Erwerbstätigkeit oder Berufsausbildung nachzugehen.</w:t>
      </w:r>
    </w:p>
    <w:p>
      <w:r>
        <w:t xml:space="preserve">(4) Als arbeitsunfähig gelten auch geschädigte Personen, die, ohne arbeitsunfähig zu sein, wegen einer Maßnahme der medizinischen Versorgung nach diesem Gesetz keine ganztägige Erwerbstätigkeit ausüben können. Dies gilt nicht für Maßnahmen zur Anpassung oder Instandsetzung von Hilfsmitteln und Körperersatzstücken. Insoweit gelten § 43 des Siebten Buches Sozialgesetzbuch und § 65a Absatz 1 Satz 1 und Absatz 2 des Ersten Buches Sozialgesetzbuch entsprechend.</w:t>
      </w:r>
    </w:p>
    <w:p>
      <w:r>
        <w:t xml:space="preserve">(5) Das Krankengeld der Soldatenentschädigung wird auch gewährt, wenn die Arbeitsunfähigkeit während einer Maßnahme der medizinischen Versorgung oder einer Maßnahme der Teilhabeleistung am Arbeitsleben nach diesem Gesetz eintritt.</w:t>
      </w:r>
    </w:p>
    <w:p>
      <w:r>
        <w:rPr>
          <w:color w:val="555555"/>
          <w:sz w:val="17"/>
        </w:rPr>
        <w:t xml:space="preserve">Zitiervorschlag: § 19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