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SEG — Leistungen zur Mobilität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Für die Leistungen zur Mobilität gilt § 40 des Siebten Buches Sozialgesetzbuch entsprechend.</w:t>
      </w:r>
    </w:p>
    <w:p>
      <w:r>
        <w:t xml:space="preserve">(2) Das Bundesministerium der Verteidigung wird ermächtigt, durch Rechtsverordnung ohne Zustimmung des Bundesrates Folgendes zu regeln:</w:t>
      </w:r>
    </w:p>
    <w:p>
      <w:pPr>
        <w:ind w:left="420"/>
      </w:pPr>
      <w:r>
        <w:t xml:space="preserve">1. die Grundsätze, die für die Leistungen zur Mobilität maßgebend sind,</w:t>
      </w:r>
    </w:p>
    <w:p>
      <w:pPr>
        <w:ind w:left="420"/>
      </w:pPr>
      <w:r>
        <w:t xml:space="preserve">2. die Höhe der Leistungen und das Bewilligungsverfahren.</w:t>
      </w:r>
    </w:p>
    <w:p>
      <w:r>
        <w:rPr>
          <w:color w:val="555555"/>
          <w:sz w:val="17"/>
        </w:rPr>
        <w:t xml:space="preserve">Zitiervorschlag: § 18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