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SEG — Abfindung</w:t>
      </w:r>
    </w:p>
    <w:p>
      <w:r>
        <w:rPr>
          <w:color w:val="555555"/>
          <w:sz w:val="18"/>
        </w:rPr>
        <w:t xml:space="preserve">Soldatenentschädigungsgesetz</w:t>
      </w:r>
    </w:p>
    <w:p>
      <w:r>
        <w:rPr>
          <w:color w:val="555555"/>
          <w:sz w:val="18"/>
        </w:rPr>
        <w:t xml:space="preserve">Stand: 04.01.2025 (konsolidierte Textfassung, kein amtliches Inkrafttretensdatum)</w:t>
      </w:r>
    </w:p>
    <w:p>
      <w:r>
        <w:t xml:space="preserve">(1) Einer geschädigten Person, die das 18. Lebensjahr vollendet hat und einen Anspruch auf eine monatliche Zahlung nach § 11 Absatz 1 hat, kann auf Antrag eine Abfindung gezahlt werden, wenn nicht zu erwarten ist, dass innerhalb der nächsten fünf Jahre der Grad der Schädigungsfolgen wesentlich sinkt.</w:t>
      </w:r>
    </w:p>
    <w:p>
      <w:r>
        <w:t xml:space="preserve">(2) Die Zahlung der Abfindung erfolgt jeweils für fünf Jahre (Abfindungszeitraum). Der Abfindungszeitraum beginnt mit dem auf den Antrag folgenden Monat.</w:t>
      </w:r>
    </w:p>
    <w:p>
      <w:r>
        <w:t xml:space="preserve">(3) Die Höhe der Abfindung beträgt das 60-Fache der monatlichen Entschädigungszahlung nach § 11 Absatz 1. Auf die Abfindung sind bereits geleistete monatliche Entschädigungszahlungen anzurechnen.</w:t>
      </w:r>
    </w:p>
    <w:p>
      <w:r>
        <w:t xml:space="preserve">(4) Mit Zahlung der Abfindung sind die Ansprüche auf die monatlichen Entschädigungszahlungen für die Dauer von fünf Jahren abgegolten.</w:t>
      </w:r>
    </w:p>
    <w:p>
      <w:r>
        <w:rPr>
          <w:color w:val="555555"/>
          <w:sz w:val="17"/>
        </w:rPr>
        <w:t xml:space="preserve">Zitiervorschlag: § 12 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