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SEG — Verhältnis zu Leistungen anderer Träger</w:t>
      </w:r>
    </w:p>
    <w:p>
      <w:r>
        <w:rPr>
          <w:color w:val="555555"/>
          <w:sz w:val="18"/>
        </w:rPr>
        <w:t xml:space="preserve">Soldatenentschädigungsgesetz</w:t>
      </w:r>
    </w:p>
    <w:p>
      <w:r>
        <w:rPr>
          <w:color w:val="555555"/>
          <w:sz w:val="18"/>
        </w:rPr>
        <w:t xml:space="preserve">Stand: 04.01.2025 (konsolidierte Textfassung, kein amtliches Inkrafttretensdatum)</w:t>
      </w:r>
    </w:p>
    <w:p>
      <w:r>
        <w:t xml:space="preserve">(1) Die Leistungen der Soldatenentschädigung gehen Leistungen anderer Träger, insbesondere anderer Sozialleistungsträger, vor.</w:t>
      </w:r>
    </w:p>
    <w:p>
      <w:r>
        <w:t xml:space="preserve">(2) Ausgleichszahlungen nach den §§ 11 und 43 Absatz 1 sowie den §§ 44 und 45 werden nicht als Einkommen oder Vermögen auf andere Sozialleistungen oder auf Leistungen nach dem Asylbewerberleistungsgesetz angerechnet.</w:t>
      </w:r>
    </w:p>
    <w:p>
      <w:r>
        <w:t xml:space="preserve">(3) Leistungsansprüche aus privaten Sicherungs- und Versorgungssystemen sind auf Leistungen der Soldatenentschädigung nicht anzurechnen.</w:t>
      </w:r>
    </w:p>
    <w:p>
      <w:r>
        <w:rPr>
          <w:color w:val="555555"/>
          <w:sz w:val="17"/>
        </w:rPr>
        <w:t xml:space="preserve">Zitiervorschlag: § 10 SEG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