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SEG — Persönlicher Geltungsbereich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Dieses Gesetz gilt für</w:t>
      </w:r>
    </w:p>
    <w:p>
      <w:pPr>
        <w:ind w:left="420"/>
      </w:pPr>
      <w:r>
        <w:t xml:space="preserve">1. Personen, die eine Wehrdienstbeschädigung erlitten haben,</w:t>
      </w:r>
    </w:p>
    <w:p>
      <w:pPr>
        <w:ind w:left="420"/>
      </w:pPr>
      <w:r>
        <w:t xml:space="preserve">2. Angehörige und Hinterbliebene der in Nummer 1 genannten Personen.</w:t>
      </w:r>
    </w:p>
    <w:p>
      <w:r>
        <w:rPr>
          <w:color w:val="555555"/>
          <w:sz w:val="17"/>
        </w:rPr>
        <w:t xml:space="preserve">Zitiervorschlag: § 1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