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SEFFV</w:t>
      </w:r>
    </w:p>
    <w:p>
      <w:r>
        <w:rPr>
          <w:color w:val="555555"/>
          <w:sz w:val="18"/>
        </w:rPr>
        <w:t xml:space="preserve">Soldaten-Eisenbahnfreifahrscheinverordnung</w:t>
      </w:r>
    </w:p>
    <w:p>
      <w:r>
        <w:rPr>
          <w:color w:val="555555"/>
          <w:sz w:val="18"/>
        </w:rPr>
        <w:t xml:space="preserve">Stand: 29.09.2021 (konsolidierte Textfassung, kein amtliches Inkrafttretensdatum)</w:t>
      </w:r>
    </w:p>
    <w:p>
      <w:r>
        <w:t xml:space="preserve">Auf Grund des § 93 Absatz 2 Nummer 3 des Soldatengesetzes, der durch Artikel 5 Nummer 10 Buchstabe a des Gesetzes vom 20. August 2021 (BGBl. I S. 3932) eingefügt worden ist, verordnet das Bundesministerium der Verteidigung:</w:t>
      </w:r>
    </w:p>
    <w:p>
      <w:r>
        <w:rPr>
          <w:color w:val="555555"/>
          <w:sz w:val="17"/>
        </w:rPr>
        <w:t xml:space="preserve">Zitiervorschlag: Eingangsformel SEFFV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https://recht.nulegal.eu/gesetze/SEFFV/eingangsformel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