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SEFFV — Inkrafttreten</w:t>
      </w:r>
    </w:p>
    <w:p>
      <w:r>
        <w:rPr>
          <w:color w:val="555555"/>
          <w:sz w:val="18"/>
        </w:rPr>
        <w:t xml:space="preserve">Soldaten-Eisenbahnfreifahrscheinverordnung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Diese Verordnung tritt mit Wirkung vom 1. Januar 2021 in Kraft.</w:t>
      </w:r>
    </w:p>
    <w:p>
      <w:r>
        <w:rPr>
          <w:color w:val="555555"/>
          <w:sz w:val="17"/>
        </w:rPr>
        <w:t xml:space="preserve">Zitiervorschlag: § 3 SEFFV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