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SEDDiktStiftG — Aufsicht, Haushalt, Rechnungsprüfung, Rechts- und Amtshilfe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(1) Die Stiftung untersteht der Rechtsaufsicht der für Kultur und Medien zuständigen obersten Bundesbehörde.</w:t>
      </w:r>
    </w:p>
    <w:p>
      <w:r>
        <w:t xml:space="preserve">(2) Für das Haushalts-, Kassen- und Rechnungswesen sowie für die Rechnungslegung der Stiftung finden die für die Bundesverwaltung geltenden Bestimmungen entsprechende Anwendung.</w:t>
      </w:r>
    </w:p>
    <w:p>
      <w:r>
        <w:t xml:space="preserve">(3) Der Stiftung ist Rechts- und Amtshilfe zu leisten. Gebühren und Auslagen werden nicht erstattet.</w:t>
      </w:r>
    </w:p>
    <w:p>
      <w:r>
        <w:rPr>
          <w:color w:val="555555"/>
          <w:sz w:val="17"/>
        </w:rPr>
        <w:t xml:space="preserve">Zitiervorschlag: § 9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