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SEDDiktStiftG — Stiftungsvermögen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Stiftungsvermögen bilden diejenigen unbeweglichen und beweglichen Vermögensgegenstände, die die Bundesrepublik Deutschland für Zwecke der Stiftung erwirbt.</w:t>
      </w:r>
    </w:p>
    <w:p>
      <w:r>
        <w:t xml:space="preserve">(2) Ferner ist die Stiftung berechtigt, Zuwendungen von dritter Seite anzunehmen und eigene Rechtsgeschäfte zu tätigen.</w:t>
      </w:r>
    </w:p>
    <w:p>
      <w:r>
        <w:t xml:space="preserve">(3) Zur Erfüllung des Stiftungszweckes (§ 2 Abs. 1) erhält die Stiftung einen jährlichen Zuschuß des Bundes nach Maßgabe des jeweiligen durch das Bundeshaushaltsgesetzes festgestellten Bundeshaushaltsplans. Darüber hinaus sind im Rahmen der Verfügbarkeit Mittel aus dem in § 20b des Parteiengesetzes der Deutschen Demokratischen Republik vom 21. Februar 1990 (GBl. I Nr. 9 S. 66), zuletzt geändert durch Gesetz vom 22. Juli 1990 (GBl. I Nr. 49 S. 904), in Verbindung mit Anlage II Kapitel II Sachgebiet A Abschnitt III Buchstabe d Satz 3 des Einigungsvertrages vom 31. August 1990 (BGBl. 1990 II S. 885, 1150) genannten Vermögen vorrangig zur Erfüllung des Stiftungszweckes zu verwenden. § 3 Abs. 2 des Gesetzes zur Regelung der Altschulden für gesellschaftliche Einrichtungen (Altschuldenregelungsgesetz - ARG) (BGBl. 1997 I S. 434) bleibt unberührt.</w:t>
      </w:r>
    </w:p>
    <w:p>
      <w:r>
        <w:t xml:space="preserve">(4) Erträge aus dem Stiftungsvermögen und sonstige Einnahmen sind nur im Sinne des Stiftungszweckes zu verwenden.</w:t>
      </w:r>
    </w:p>
    <w:p>
      <w:r>
        <w:rPr>
          <w:color w:val="555555"/>
          <w:sz w:val="17"/>
        </w:rPr>
        <w:t xml:space="preserve">Zitiervorschlag: § 3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