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SECHZEHNTER_RUNDFUNKAEND_STV (Brandenburg)</w:t>
      </w:r>
    </w:p>
    <w:p>
      <w:r>
        <w:rPr>
          <w:color w:val="555555"/>
          <w:sz w:val="18"/>
        </w:rPr>
        <w:t xml:space="preserve">Gesetz zum Sechzehnten Staatsvertrag zur Änderung rundfunkrechtlicher Staatsverträge (Sechzehnter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Staatsvertrag tritt nach seinem Artikel 2 Absatz 2 Satz 1 vorbehaltlich des Satzes 2 am 1. April 2015 in Kraft. Artikel 1 Nummer 3 des Staatsvertrages tritt nach Artikel 2 Absatz 2 Satz 2 des Staatsvertrages am 1. Januar 2017 in Kraft. Sollte der Staatsvertrag nach seinem Artikel 2 Absatz 2 Satz 3 gegenstandslos werden, ist dies unverzüglich im Gesetz- und Verordnungsblatt für das Land Brandenburg Teil I bekannt zu geben.</w:t>
      </w:r>
    </w:p>
    <w:p>
      <w:r>
        <w:t xml:space="preserve">Potsdam, den 10. Februar 2015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 - Rundfunkfinanzierungsstaatsvertrag</w:t>
      </w:r>
    </w:p>
    <w:p>
      <w:r>
        <w:rPr>
          <w:color w:val="555555"/>
          <w:sz w:val="17"/>
        </w:rPr>
        <w:t xml:space="preserve">Zitiervorschlag: § 2 SECHZEHNTER_RUNDFUNKAEND_STV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https://recht.nulegal.eu/gesetze/SECHZEHNTER_RUNDFUNKAEND_STV/2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