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SECHZEHNTER_RUNDFUNKAEND_STV (Brandenburg)</w:t>
      </w:r>
    </w:p>
    <w:p>
      <w:r>
        <w:rPr>
          <w:color w:val="555555"/>
          <w:sz w:val="18"/>
        </w:rPr>
        <w:t xml:space="preserve">Gesetz zum Sechzehnten Staatsvertrag zur Änderung rundfunkrechtlicher Staatsverträge (Sechzehnter Rundfunkänderungsstaatsvertrag)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Dem am 9. Juli 2014 vom Land Brandenburg unterzeichneten Sechzehnten Staatsvertrag zur Änderung rundfunkrechtlicher Staatsverträge (Sechzehnter Rundfunkänderungsstaatsvertrag) wird zugestimmt. Der Staatsvertrag wird nachstehend veröffentlicht.</w:t>
      </w:r>
    </w:p>
    <w:p>
      <w:r>
        <w:rPr>
          <w:color w:val="555555"/>
          <w:sz w:val="17"/>
        </w:rPr>
        <w:t xml:space="preserve">Zitiervorschlag: § 1 SECHZEHNTER_RUNDFUNKAEND_STV (Brandenburg)</w:t>
      </w:r>
    </w:p>
    <w:p>
      <w:r>
        <w:rPr>
          <w:color w:val="555555"/>
          <w:sz w:val="17"/>
        </w:rPr>
        <w:t xml:space="preserve">Quelle: bravors, abgerufen 30.07.2026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https://recht.nulegal.eu/gesetze/SECHZEHNTER_RUNDFUNKAEND_STV/1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