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SECHSTER_RUNDFUNKAEND_STV (Brandenburg) — In-Kraft-Treten</w:t>
      </w:r>
    </w:p>
    <w:p>
      <w:r>
        <w:rPr>
          <w:color w:val="555555"/>
          <w:sz w:val="18"/>
        </w:rPr>
        <w:t xml:space="preserve">Gesetz zu dem Sechsten Rundfunkänderungsstaatsvertrag und zur Änderung des Medienaufsichtsgesetzes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Artikel 2 dieses Gesetzes tritt an dem Tage in Kraft, an dem der Sechste Rundfunkänderungsstaatsvertrag in Kraft tritt.</w:t>
      </w:r>
    </w:p>
    <w:p>
      <w:r>
        <w:t xml:space="preserve">(2) Im Übrigen tritt dieses Gesetz am Tage nach der Verkündung in Kraft.</w:t>
      </w:r>
    </w:p>
    <w:p>
      <w:r>
        <w:t xml:space="preserve">(3) Der Tag, an dem der Sechste Rundfunkänderungsstaatsvertrag nach seinem Artikel 4 Abs. 2 in Kraft tritt, ist im Gesetz- und Verordnungsblatt für das Land Brandenburg Teil I bekannt zu geben.</w:t>
      </w:r>
    </w:p>
    <w:p>
      <w:r>
        <w:t xml:space="preserve">Potsdam, den10. Juni 2002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Dr. Herbert Knoblich</w:t>
      </w:r>
    </w:p>
    <w:p>
      <w:r>
        <w:t xml:space="preserve">zum Staatsvertrag - Rundfunkstaatsvertrag</w:t>
      </w:r>
    </w:p>
    <w:p>
      <w:r>
        <w:t xml:space="preserve">zum Staatsvertrag - Rundfunkfinanzierungsstaatsvertrag</w:t>
      </w:r>
    </w:p>
    <w:p>
      <w:r>
        <w:rPr>
          <w:color w:val="555555"/>
          <w:sz w:val="17"/>
        </w:rPr>
        <w:t xml:space="preserve">Zitiervorschlag: Art 3 SECHSTER_RUNDFUNKAEND_STV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https://recht.nulegal.eu/gesetze/SECHSTER_RUNDFUNKAEND_STV/3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