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46 SEBG — Bußgeldvorschriften</w:t>
      </w:r>
    </w:p>
    <w:p>
      <w:r>
        <w:rPr>
          <w:color w:val="555555"/>
          <w:sz w:val="18"/>
        </w:rPr>
        <w:t xml:space="preserve">SE-Beteiligungsgesetz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Ordnungswidrig handelt, wer</w:t>
      </w:r>
    </w:p>
    <w:p>
      <w:pPr>
        <w:ind w:left="420"/>
      </w:pPr>
      <w:r>
        <w:t xml:space="preserve">1. entgegen § 4 Abs. 2 oder § 5 Abs. 4 Satz 2, jeweils auch in Verbindung mit § 18 Abs. 4, eine Information nicht, nicht richtig, nicht vollständig oder nicht rechtzeitig gibt oder</w:t>
      </w:r>
    </w:p>
    <w:p>
      <w:pPr>
        <w:ind w:left="420"/>
      </w:pPr>
      <w:r>
        <w:t xml:space="preserve">2. entgegen § 28 Abs. 1 Satz 1 oder § 29 Abs. 1 Satz 1 den SE-Betriebsrat nicht, nicht richtig, nicht vollständig, nicht in der vorgeschriebenen Weise oder nicht rechtzeitig unterrichtet.</w:t>
      </w:r>
    </w:p>
    <w:p>
      <w:r>
        <w:t xml:space="preserve">(2) Die Ordnungswidrigkeit kann mit einer Geldbuße bis zu zwanzigtausend Euro geahndet werden.</w:t>
      </w:r>
    </w:p>
    <w:p>
      <w:r>
        <w:rPr>
          <w:color w:val="555555"/>
          <w:sz w:val="17"/>
        </w:rPr>
        <w:t xml:space="preserve">Zitiervorschlag: § 46 SEBG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https://recht.nulegal.eu/gesetze/SEBG/46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