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SEBG — Besondere Voraussetzungen</w:t>
      </w:r>
    </w:p>
    <w:p>
      <w:r>
        <w:rPr>
          <w:color w:val="555555"/>
          <w:sz w:val="18"/>
        </w:rPr>
        <w:t xml:space="preserve">SE-Beteiligungsgesetz</w:t>
      </w:r>
    </w:p>
    <w:p>
      <w:r>
        <w:rPr>
          <w:color w:val="555555"/>
          <w:sz w:val="18"/>
        </w:rPr>
        <w:t xml:space="preserve">Stand: 10.06.2019 (konsolidierte Textfassung, kein amtliches Inkrafttretensdatum)</w:t>
      </w:r>
    </w:p>
    <w:p>
      <w:r>
        <w:t xml:space="preserve">(1) Liegen die Voraussetzungen des § 22 vor, finden die Regelungen über die Mitbestimmung der Arbeitnehmer kraft Gesetzes nach den §§ 35 bis 38 Anwendung</w:t>
      </w:r>
    </w:p>
    <w:p>
      <w:pPr>
        <w:ind w:left="420"/>
      </w:pPr>
      <w:r>
        <w:t xml:space="preserve">1. im Fall einer durch Umwandlung gegründeten SE, wenn in der Gesellschaft vor der Umwandlung Bestimmungen über die Mitbestimmung der Arbeitnehmer im Aufsichts- oder Verwaltungsorgan galten;</w:t>
      </w:r>
    </w:p>
    <w:p>
      <w:pPr>
        <w:ind w:left="420"/>
      </w:pPr>
      <w:r>
        <w:t xml:space="preserve">2. im Fall einer durch Verschmelzung gegründeten SE, wenn</w:t>
      </w:r>
    </w:p>
    <w:p>
      <w:pPr>
        <w:ind w:left="780"/>
      </w:pPr>
      <w:r>
        <w:t xml:space="preserve">a) vor der Eintragung der SE in einer oder mehreren der beteiligten Gesellschaften eine oder mehrere Formen der Mitbestimmung bestanden und sich auf mindestens 25 Prozent der Gesamtzahl der Arbeitnehmer aller beteiligten Gesellschaften und betroffenen Tochtergesellschaften erstreckten oder</w:t>
      </w:r>
    </w:p>
    <w:p>
      <w:pPr>
        <w:ind w:left="780"/>
      </w:pPr>
      <w:r>
        <w:t xml:space="preserve">b) vor der Eintragung der SE in einer oder mehreren der beteiligten Gesellschaften eine oder mehrere Formen der Mitbestimmung bestanden und sich auf weniger als 25 Prozent der Gesamtzahl der Arbeitnehmer aller beteiligten Gesellschaften und betroffenen Tochtergesellschaften erstreckten und das besondere Verhandlungsgremium einen entsprechenden Beschluss fasst;</w:t>
      </w:r>
    </w:p>
    <w:p>
      <w:pPr>
        <w:ind w:left="420"/>
      </w:pPr>
      <w:r>
        <w:t xml:space="preserve">3. im Fall einer durch Errichtung einer Holding-Gesellschaft oder einer Tochtergesellschaft gegründeten SE, wenn</w:t>
      </w:r>
    </w:p>
    <w:p>
      <w:pPr>
        <w:ind w:left="780"/>
      </w:pPr>
      <w:r>
        <w:t xml:space="preserve">a) vor der Eintragung der SE in einer oder mehreren der beteiligten Gesellschaften eine oder mehrere Formen der Mitbestimmung bestanden und sich auf mindestens 50 Prozent der Gesamtzahl der Arbeitnehmer aller beteiligten Gesellschaften und betroffenen Tochtergesellschaften erstreckten oder</w:t>
      </w:r>
    </w:p>
    <w:p>
      <w:pPr>
        <w:ind w:left="780"/>
      </w:pPr>
      <w:r>
        <w:t xml:space="preserve">b) vor der Eintragung der SE in einer oder mehreren der beteiligten Gesellschaften eine oder mehrere Formen der Mitbestimmung bestanden und sich auf weniger als 50 Prozent der Gesamtzahl der Arbeitnehmer aller beteiligten Gesellschaften und betroffenen Tochtergesellschaften erstreckten und das besondere Verhandlungsgremium einen entsprechenden Beschluss fasst.</w:t>
      </w:r>
    </w:p>
    <w:p>
      <w:r>
        <w:t xml:space="preserve">(2) Bestanden in den Fällen von Absatz 1 Nr. 2 und 3 mehr als eine Form der Mitbestimmung im Sinne des § 2 Abs. 12 in den verschiedenen beteiligten Gesellschaften, so entscheidet das besondere Verhandlungsgremium, welche von ihnen in der SE eingeführt wird. Wenn das besondere Verhandlungsgremium keinen solchen Beschluss fasst und eine inländische Gesellschaft, deren Arbeitnehmern Mitbestimmungsrechte zustehen, an der Gründung der SE beteiligt ist, ist die Mitbestimmung nach § 2 Abs. 12 Nr. 1 maßgeblich. Ist keine inländische Gesellschaft, deren Arbeitnehmern Mitbestimmungsrechte zustehen, beteiligt, findet die Form der Mitbestimmung nach § 2 Abs. 12 Anwendung, die sich auf die höchste Zahl der in den beteiligten Gesellschaften beschäftigten Arbeitnehmer erstreckt.</w:t>
      </w:r>
    </w:p>
    <w:p>
      <w:r>
        <w:t xml:space="preserve">(3) Das besondere Verhandlungsgremium unterrichtet die Leitungen über die Beschlüsse, die es nach Absatz 1 Nr. 2 Buchstabe b und Nr. 3 Buchstabe b und Absatz 2 Satz 1 gefasst hat.</w:t>
      </w:r>
    </w:p>
    <w:p>
      <w:r>
        <w:rPr>
          <w:color w:val="555555"/>
          <w:sz w:val="17"/>
        </w:rPr>
        <w:t xml:space="preserve">Zitiervorschlag: § 34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