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26 SEBG — Beschluss zur Aufnahme von Neuverhandlungen</w:t>
      </w:r>
    </w:p>
    <w:p>
      <w:r>
        <w:rPr>
          <w:color w:val="555555"/>
          <w:sz w:val="18"/>
        </w:rPr>
        <w:t xml:space="preserve">SE-Beteiligungsgesetz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Vier Jahre nach seiner Einsetzung hat der SE-Betriebsrat mit der Mehrheit seiner Mitglieder einen Beschluss darüber zu fassen, ob über eine Vereinbarung nach § 21 verhandelt werden oder die bisherige Regelung weiter gelten soll.</w:t>
      </w:r>
    </w:p>
    <w:p>
      <w:r>
        <w:t xml:space="preserve">(2) Wird der Beschluss gefasst, über eine Vereinbarung nach § 21 zu verhandeln, so gelten die §§ 13 bis 15, 17, 20 und 21 entsprechend mit der Maßgabe, dass an die Stelle des besonderen Verhandlungsgremiums der SE-Betriebsrat tritt. Kommt keine Vereinbarung zustande, findet die bisherige Regelung weiter Anwendung.</w:t>
      </w:r>
    </w:p>
    <w:p>
      <w:r>
        <w:rPr>
          <w:color w:val="555555"/>
          <w:sz w:val="17"/>
        </w:rPr>
        <w:t xml:space="preserve">Zitiervorschlag: § 26 SEBG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https://recht.nulegal.eu/gesetze/SEBG/26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26 SEBG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