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SEBG — Prüfung der Zusammensetzung des SE-Betriebsrats</w:t>
      </w:r>
    </w:p>
    <w:p>
      <w:r>
        <w:rPr>
          <w:color w:val="555555"/>
          <w:sz w:val="18"/>
        </w:rPr>
        <w:t xml:space="preserve">SE-Beteiligungsgesetz</w:t>
      </w:r>
    </w:p>
    <w:p>
      <w:r>
        <w:rPr>
          <w:color w:val="555555"/>
          <w:sz w:val="18"/>
        </w:rPr>
        <w:t xml:space="preserve">Stand: 10.06.2019 (konsolidierte Textfassung, kein amtliches Inkrafttretensdatum)</w:t>
      </w:r>
    </w:p>
    <w:p>
      <w:r>
        <w:t xml:space="preserve">Alle zwei Jahre, vom Tage der konstituierenden Sitzung des SE-Betriebsrats an gerechnet, hat die Leitung der SE zu prüfen, ob Änderungen der SE und ihrer Tochtergesellschaften und Betriebe, insbesondere bei den Arbeitnehmerzahlen in den einzelnen Mitgliedstaaten eingetreten sind. Sie hat das Ergebnis dem SE-Betriebsrat mitzuteilen. Ist danach eine andere Zusammensetzung des SE-Betriebsrats erforderlich, veranlasst dieser bei den in den jeweiligen Mitgliedstaaten zuständigen Stellen, dass die Mitglieder des SE-Betriebsrats in diesen Mitgliedstaaten neu gewählt oder bestellt werden. Mit der neuen Wahl oder Bestellung endet die Mitgliedschaft der bisherigen Arbeitnehmervertreter aus diesen Mitgliedstaaten.</w:t>
      </w:r>
    </w:p>
    <w:p>
      <w:r>
        <w:rPr>
          <w:color w:val="555555"/>
          <w:sz w:val="17"/>
        </w:rPr>
        <w:t xml:space="preserve">Zitiervorschlag: § 25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