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SEBG — Kosten des besonderen Verhandlungsgremiums</w:t>
      </w:r>
    </w:p>
    <w:p>
      <w:r>
        <w:rPr>
          <w:color w:val="555555"/>
          <w:sz w:val="18"/>
        </w:rPr>
        <w:t xml:space="preserve">SE-Beteiligungsgesetz</w:t>
      </w:r>
    </w:p>
    <w:p>
      <w:r>
        <w:rPr>
          <w:color w:val="555555"/>
          <w:sz w:val="18"/>
        </w:rPr>
        <w:t xml:space="preserve">Stand: 10.06.2019 (konsolidierte Textfassung, kein amtliches Inkrafttretensdatum)</w:t>
      </w:r>
    </w:p>
    <w:p>
      <w:r>
        <w:t xml:space="preserve">Die durch die Bildung und Tätigkeit des besonderen Verhandlungsgremiums entstehenden erforderlichen Kosten tragen die beteiligten Gesellschaften und nach ihrer Gründung die SE als Gesamtschuldner. Insbesondere sind für die Sitzungen in erforderlichem Umfang Räume, sachliche Mittel, Dolmetscher und Büropersonal zur Verfügung zu stellen sowie die erforderlichen Reise- und Aufenthaltskosten der Mitglieder des besonderen Verhandlungsgremiums zu tragen.</w:t>
      </w:r>
    </w:p>
    <w:p>
      <w:r>
        <w:rPr>
          <w:color w:val="555555"/>
          <w:sz w:val="17"/>
        </w:rPr>
        <w:t xml:space="preserve">Zitiervorschlag: § 19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