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SEBG — Beschlussfassung im besonderen Verhandlungsgremium</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Mitglieder des besonderen Verhandlungsgremiums, die in einem Mitgliedstaat gewählt oder bestellt werden, vertreten alle in dem jeweiligen Mitgliedstaat beschäftigten Arbeitnehmer. Solange aus einem Mitgliedstaat keine Mitglieder in das besondere Verhandlungsgremium gewählt oder bestellt sind (§ 11 Abs. 2), gelten die betroffenen Arbeitnehmer als nicht vertreten.</w:t>
      </w:r>
    </w:p>
    <w:p>
      <w:r>
        <w:t xml:space="preserve">(2) Das besondere Verhandlungsgremium beschließt vorbehaltlich des Absatzes 3 und § 16 Abs. 1 mit der Mehrheit seiner Mitglieder, in der zugleich die Mehrheit der vertretenen Arbeitnehmer enthalten sein muss. Jedes auf das Inland entfallende Mitglied vertritt gleich viele Arbeitnehmer.</w:t>
      </w:r>
    </w:p>
    <w:p>
      <w:r>
        <w:t xml:space="preserve">(3) Hätten die Verhandlungen eine Minderung der Mitbestimmungsrechte zur Folge, so ist für einen Beschluss zur Billigung einer solchen Vereinbarung eine Mehrheit von zwei Dritteln der Mitglieder des besonderen Verhandlungsgremiums erforderlich, die mindestens zwei Drittel der Arbeitnehmer in mindestens zwei Mitgliedstaaten vertreten. Dies gilt</w:t>
      </w:r>
    </w:p>
    <w:p>
      <w:pPr>
        <w:ind w:left="420"/>
      </w:pPr>
      <w:r>
        <w:t xml:space="preserve">1. im Fall einer SE, die durch Verschmelzung gegründet werden soll, sofern sich die Mitbestimmung auf mindestens 25 Prozent der Gesamtzahl der Arbeitnehmer der beteiligten Gesellschaften und der betroffenen Tochtergesellschaften erstreckt oder</w:t>
      </w:r>
    </w:p>
    <w:p>
      <w:pPr>
        <w:ind w:left="420"/>
      </w:pPr>
      <w:r>
        <w:t xml:space="preserve">2. im Fall einer SE, die als Holding-Gesellschaft oder als Tochtergesellschaft gegründet werden soll, sofern sich die Mitbestimmung auf mindestens 50 Prozent der Gesamtzahl der Arbeitnehmer der beteiligten Gesellschaften und der betroffenen Tochtergesellschaften erstreckt.</w:t>
      </w:r>
    </w:p>
    <w:p>
      <w:r>
        <w:t xml:space="preserve">(4) Minderung der Mitbestimmungsrechte bedeutet, dass</w:t>
      </w:r>
    </w:p>
    <w:p>
      <w:pPr>
        <w:ind w:left="420"/>
      </w:pPr>
      <w:r>
        <w:t xml:space="preserve">1. der Anteil der Arbeitnehmervertreter im Aufsichts- oder Verwaltungsorgan der SE geringer ist als der höchste in den beteiligten Gesellschaften bestehende Anteil oder</w:t>
      </w:r>
    </w:p>
    <w:p>
      <w:pPr>
        <w:ind w:left="420"/>
      </w:pPr>
      <w:r>
        <w:t xml:space="preserve">2. das Recht, Mitglieder des Aufsichts- oder Verwaltungsorgans der Gesellschaft zu wählen, zu bestellen, zu empfehlen oder abzulehnen, beseitigt oder eingeschränkt wird.</w:t>
      </w:r>
    </w:p>
    <w:p>
      <w:r>
        <w:t xml:space="preserve">(5) Wird eine SE durch Umwandlung gegründet, kann ein Beschluss nach Absatz 3 nicht gefasst werden.</w:t>
      </w:r>
    </w:p>
    <w:p>
      <w:r>
        <w:rPr>
          <w:color w:val="555555"/>
          <w:sz w:val="17"/>
        </w:rPr>
        <w:t xml:space="preserve">Zitiervorschlag: § 15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