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SEBG — Sitzungen; Geschäftsordnung</w:t>
      </w:r>
    </w:p>
    <w:p>
      <w:r>
        <w:rPr>
          <w:color w:val="555555"/>
          <w:sz w:val="18"/>
        </w:rPr>
        <w:t xml:space="preserve">SE-Beteiligungsgesetz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Leitungen laden unverzüglich nach Benennung der Mitglieder oder im Fall des § 11 nach Ablauf der in § 11 Abs. 1 Satz 1 genannten Frist zur konstituierenden Sitzung des besonderen Verhandlungsgremiums ein und informieren die örtlichen Betriebs- und Unternehmensleitungen. Das besondere Verhandlungsgremium wählt aus seiner Mitte einen Vorsitzenden und mindestens zwei Stellvertreter. Es kann sich eine schriftliche Geschäftsordnung geben.</w:t>
      </w:r>
    </w:p>
    <w:p>
      <w:r>
        <w:t xml:space="preserve">(2) Der Vorsitzende kann weitere Sitzungen einberufen.</w:t>
      </w:r>
    </w:p>
    <w:p>
      <w:r>
        <w:rPr>
          <w:color w:val="555555"/>
          <w:sz w:val="17"/>
        </w:rPr>
        <w:t xml:space="preserve">Zitiervorschlag: § 12 SEBG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https://recht.nulegal.eu/gesetze/SEBG/12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