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SEAG — Übergangsvorschrift zum Finanzmarktintegritätsstärkungsgesetz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§ 53 in der ab dem 1. Juli 2021 geltenden Fassung ist erstmals auf alle gesetzlichen vorgeschriebenen Abschlussprüfungen für das nach dem 31. Dezember 2021 beginnende Geschäftsjahr anzuwenden. § 53 in der bis einschließlich 30. Juni 2021 geltenden Fassung ist letztmals anzuwenden auf alle gesetzlich vorgeschriebenen Abschlussprüfungen für das vor dem 1. Januar 2022 beginnende Geschäftsjahr.</w:t>
      </w:r>
    </w:p>
    <w:p>
      <w:r>
        <w:t xml:space="preserve">(2) § 34 Absatz 4 Satz 5 und Absatz 5 Satz 1, 3, 4 und 5 in der ab dem 1. Juli 2021 geltenden Fassung ist erstmals ab dem 1. Januar 2022 anzuwenden. § 34 Absatz 5 Satz 2 in der ab dem 1. Juli 2021 geltenden Fassung muss so lange nicht angewandt werden, wie alle Mitglieder des Verwaltungsrats und des Prüfungsausschusses vor dem 1. Juli 2021 bestellt worden sind.</w:t>
      </w:r>
    </w:p>
    <w:p>
      <w:r>
        <w:rPr>
          <w:color w:val="555555"/>
          <w:sz w:val="17"/>
        </w:rPr>
        <w:t xml:space="preserve">Zitiervorschlag: § 57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