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53 SEAG — Straf- und Bußgeldvorschriften</w:t>
      </w:r>
    </w:p>
    <w:p>
      <w:r>
        <w:rPr>
          <w:color w:val="555555"/>
          <w:sz w:val="18"/>
        </w:rPr>
        <w:t xml:space="preserve">SE-Ausführungsgesetz</w:t>
      </w:r>
    </w:p>
    <w:p>
      <w:r>
        <w:rPr>
          <w:color w:val="555555"/>
          <w:sz w:val="18"/>
        </w:rPr>
        <w:t xml:space="preserve">Stand: 25.06.2023 (konsolidierte Textfassung, kein amtliches Inkrafttretensdatum)</w:t>
      </w:r>
    </w:p>
    <w:p>
      <w:r>
        <w:t xml:space="preserve">(1) Die Strafvorschriften des § 399 Abs. 1 Nr. 1 bis 5 und Abs. 2, des § 400 und der §§ 402 bis 404a des Aktiengesetzes, der §§ 331 bis 333 des Handelsgesetzbuchs und der §§ 346 bis 349 des Umwandlungsgesetzes sowie die Bußgeldvorschriften des § 405 des Aktiengesetzes und der §§ 334 und 342o des Handelsgesetzbuchs gelten auch für die SE im Sinne des Artikels 9 Abs. 1 Buchstabe c Doppelbuchstabe ii der Verordnung. Soweit sie</w:t>
      </w:r>
    </w:p>
    <w:p>
      <w:pPr>
        <w:ind w:left="420"/>
      </w:pPr>
      <w:r>
        <w:t xml:space="preserve">1. Mitglieder des Vorstands,</w:t>
      </w:r>
    </w:p>
    <w:p>
      <w:pPr>
        <w:ind w:left="420"/>
      </w:pPr>
      <w:r>
        <w:t xml:space="preserve">2. Mitglieder des Aufsichtsrats oder</w:t>
      </w:r>
    </w:p>
    <w:p>
      <w:pPr>
        <w:ind w:left="420"/>
      </w:pPr>
      <w:r>
        <w:t xml:space="preserve">3. Mitglieder des vertretungsberechtigten Organs einer Kapitalgesellschaft</w:t>
      </w:r>
    </w:p>
    <w:p>
      <w:r>
        <w:t xml:space="preserve">betreffen, gelten sie bei der SE mit dualistischem System in den Fällen der Nummern 1 und 3 für die Mitglieder des Leitungsorgans und in den Fällen der Nummer 2 für die Mitglieder des Aufsichtsorgans. Bei der SE mit monistischem System gelten sie in den Fällen der Nummern 1 und 3 für die geschäftsführenden Direktoren und in den Fällen der Nummer 2 für die Mitglieder des Verwaltungsrats. § 407a des Aktiengesetzes gilt bei Anwendung der Strafvorschriften des § 404a des Aktiengesetzes sowie der Bußgeldvorschriften des § 405 Absatz 3b und 3c des Aktiengesetzes entsprechend.</w:t>
      </w:r>
    </w:p>
    <w:p>
      <w:r>
        <w:t xml:space="preserve">(2) Die Strafvorschriften des § 399 Abs. 1 Nr. 6 und des § 401 des Aktiengesetzes gelten im Sinne des Artikels 9 Abs. 1 Buchstabe c Doppelbuchstabe ii der Verordnung auch für die SE mit dualistischem System. Soweit sie Mitglieder des Vorstands betreffen, gelten sie für die Mitglieder des Leitungsorgans.</w:t>
      </w:r>
    </w:p>
    <w:p>
      <w:r>
        <w:t xml:space="preserve">(3) Mit Freiheitsstrafe bis zu drei Jahren oder mit Geldstrafe wird bestraft, wer</w:t>
      </w:r>
    </w:p>
    <w:p>
      <w:pPr>
        <w:ind w:left="420"/>
      </w:pPr>
      <w:r>
        <w:t xml:space="preserve">1. als Vorstandsmitglied entgegen § 8 Satz 2,</w:t>
      </w:r>
    </w:p>
    <w:p>
      <w:pPr>
        <w:ind w:left="420"/>
      </w:pPr>
      <w:r>
        <w:t xml:space="preserve">2. als Mitglied des Leitungsorgans einer SE mit dualistischem System oder als geschäftsführender Direktor einer SE mit monistischem System entgegen § 13 Abs. 3,</w:t>
      </w:r>
    </w:p>
    <w:p>
      <w:pPr>
        <w:ind w:left="420"/>
      </w:pPr>
      <w:r>
        <w:t xml:space="preserve">3. als geschäftsführender Direktor einer SE mit monistischem System entgegen § 21 Abs. 2 Satz 1 oder § 46 Abs. 2 Satz 1 oder</w:t>
      </w:r>
    </w:p>
    <w:p>
      <w:pPr>
        <w:ind w:left="420"/>
      </w:pPr>
      <w:r>
        <w:t xml:space="preserve">4. als Abwickler einer SE mit monistischem System entgegen Artikel 9 Abs. 1 Buchstabe c Doppelbuchstabe ii der Verordnung in Verbindung mit § 266 Abs. 3 Satz 1 des Aktiengesetzes</w:t>
      </w:r>
    </w:p>
    <w:p>
      <w:r>
        <w:t xml:space="preserve">eine Versicherung nicht richtig abgibt.</w:t>
      </w:r>
    </w:p>
    <w:p>
      <w:r>
        <w:t xml:space="preserve">(4) Ebenso wird bestraft, wer bei einer SE mit monistischem System</w:t>
      </w:r>
    </w:p>
    <w:p>
      <w:pPr>
        <w:ind w:left="420"/>
      </w:pPr>
      <w:r>
        <w:t xml:space="preserve">1. als Mitglied des Verwaltungsrats entgegen § 22 Abs. 5 Satz 1 die Hauptversammlung nicht oder nicht rechtzeitig einberuft oder ihr den Verlust nicht, nicht richtig, nicht vollständig oder nicht rechtzeitig anzeigt oder</w:t>
      </w:r>
    </w:p>
    <w:p>
      <w:pPr>
        <w:ind w:left="420"/>
      </w:pPr>
      <w:r>
        <w:t xml:space="preserve">2. als Mitglied des Verwaltungsrats entgegen § 22 Abs. 5 Satz 2 in Verbindung mit § 15a Abs. 1 Satz 1 der Insolvenzordnung</w:t>
      </w:r>
    </w:p>
    <w:p>
      <w:r>
        <w:t xml:space="preserve">die Eröffnung des Insolvenzverfahrens nicht oder nicht rechtzeitig beantragt.</w:t>
      </w:r>
    </w:p>
    <w:p>
      <w:r>
        <w:t xml:space="preserve">(5) Handelt der Täter in den Fällen des Absatzes 4 fahrlässig, so ist die Strafe Freiheitsstrafe bis zu einem Jahr oder Geldstrafe.</w:t>
      </w:r>
    </w:p>
    <w:p>
      <w:r>
        <w:rPr>
          <w:color w:val="555555"/>
          <w:sz w:val="17"/>
        </w:rPr>
        <w:t xml:space="preserve">Zitiervorschlag: § 53 SEAG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https://recht.nulegal.eu/gesetze/SEAG/53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