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SEAG — Auflösung der SE bei Auseinanderfallen von Sitz und Hauptverwaltung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Erfüllt eine SE nicht mehr die Verpflichtung nach Artikel 7 der Verordnung, so gilt dies als Mangel der Satzung im Sinne des § 262 Abs. 1 Nr. 5 des Aktiengesetzes. Das Registergericht fordert die SE auf, innerhalb einer bestimmten Frist den vorschriftswidrigen Zustand zu beenden, indem sie</w:t>
      </w:r>
    </w:p>
    <w:p>
      <w:pPr>
        <w:ind w:left="420"/>
      </w:pPr>
      <w:r>
        <w:t xml:space="preserve">1. entweder ihre Hauptverwaltung wieder im Sitzstaat errichtet oder</w:t>
      </w:r>
    </w:p>
    <w:p>
      <w:pPr>
        <w:ind w:left="420"/>
      </w:pPr>
      <w:r>
        <w:t xml:space="preserve">2. ihren Sitz nach dem Verfahren des Artikels 8 der Verordnung verlegt.</w:t>
      </w:r>
    </w:p>
    <w:p>
      <w:r>
        <w:t xml:space="preserve">(2) Wird innerhalb der nach Absatz 1 bestimmten Frist der Aufforderung nicht genügt, so hat das Gericht den Mangel der Satzung festzustellen.</w:t>
      </w:r>
    </w:p>
    <w:p>
      <w:r>
        <w:t xml:space="preserve">(3) Gegen Verfügungen, durch welche eine Feststellung nach Absatz 2 getroffen wird, findet die Beschwerde statt.</w:t>
      </w:r>
    </w:p>
    <w:p>
      <w:r>
        <w:rPr>
          <w:color w:val="555555"/>
          <w:sz w:val="17"/>
        </w:rPr>
        <w:t xml:space="preserve">Zitiervorschlag: § 52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