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SEAG — Satzungsänderungen</w:t>
      </w:r>
    </w:p>
    <w:p>
      <w:r>
        <w:rPr>
          <w:color w:val="555555"/>
          <w:sz w:val="18"/>
        </w:rPr>
        <w:t xml:space="preserve">SE-Ausführungsgesetz</w:t>
      </w:r>
    </w:p>
    <w:p>
      <w:r>
        <w:rPr>
          <w:color w:val="555555"/>
          <w:sz w:val="18"/>
        </w:rPr>
        <w:t xml:space="preserve">Stand: 10.06.2019 (konsolidierte Textfassung, kein amtliches Inkrafttretensdatum)</w:t>
      </w:r>
    </w:p>
    <w:p>
      <w:r>
        <w:t xml:space="preserve">Die Satzung kann bestimmen, dass für einen Beschluss der Hauptversammlung über die Änderung der Satzung die einfache Mehrheit der abgegebenen Stimmen ausreicht, sofern mindestens die Hälfte des Grundkapitals vertreten ist. Dies gilt nicht für die Änderung des Gegenstands des Unternehmens, für einen Beschluss gemäß Artikel 8 Abs. 6 der Verordnung sowie für Fälle, für die eine höhere Kapitalmehrheit gesetzlich zwingend vorgeschrieben ist.</w:t>
      </w:r>
    </w:p>
    <w:p>
      <w:r>
        <w:rPr>
          <w:color w:val="555555"/>
          <w:sz w:val="17"/>
        </w:rPr>
        <w:t xml:space="preserve">Zitiervorschlag: § 51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