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SEAG — Einberufung und Ergänzung der Tagesordnung auf Verlangen einer Minderheit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Einberufung der Hauptversammlung und die Aufstellung ihrer Tagesordnung nach Artikel 55 der Verordnung kann von einem oder mehreren Aktionären beantragt werden, sofern sein oder ihr Anteil am Grundkapital mindestens 5 Prozent beträgt.</w:t>
      </w:r>
    </w:p>
    <w:p>
      <w:r>
        <w:t xml:space="preserve">(2) Die Ergänzung der Tagesordnung für eine Hauptversammlung durch einen oder mehrere Punkte kann von einem oder mehreren Aktionären beantragt werden, sofern sein oder ihr Anteil 5 Prozent des Grundkapitals oder den anteiligen Betrag von 500.000 Euro erreicht.</w:t>
      </w:r>
    </w:p>
    <w:p>
      <w:r>
        <w:rPr>
          <w:color w:val="555555"/>
          <w:sz w:val="17"/>
        </w:rPr>
        <w:t xml:space="preserve">Zitiervorschlag: § 50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