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SEAG — Leitungsmacht und Verantwortlichkeit bei Abhängigkeit von Unternehmen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Anwendung der Vorschriften der §§ 308 bis 318 des Aktiengesetzes treten an die Stelle des Vorstands der Gesellschaft die geschäftsführenden Direktoren.</w:t>
      </w:r>
    </w:p>
    <w:p>
      <w:r>
        <w:t xml:space="preserve">(2) Für die Anwendung der Vorschriften der §§ 319 bis 327 des Aktiengesetzes treten an die Stelle des Vorstands der eingegliederten Gesellschaft die geschäftsführenden Direktoren.</w:t>
      </w:r>
    </w:p>
    <w:p>
      <w:r>
        <w:rPr>
          <w:color w:val="555555"/>
          <w:sz w:val="17"/>
        </w:rPr>
        <w:t xml:space="preserve">Zitiervorschlag: § 49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