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SEAG — Anmeldung von Änderungen</w:t>
      </w:r>
    </w:p>
    <w:p>
      <w:r>
        <w:rPr>
          <w:color w:val="555555"/>
          <w:sz w:val="18"/>
        </w:rPr>
        <w:t xml:space="preserve">SE-Ausführungsgesetz</w:t>
      </w:r>
    </w:p>
    <w:p>
      <w:r>
        <w:rPr>
          <w:color w:val="555555"/>
          <w:sz w:val="18"/>
        </w:rPr>
        <w:t xml:space="preserve">Stand: 10.06.2019 (konsolidierte Textfassung, kein amtliches Inkrafttretensdatum)</w:t>
      </w:r>
    </w:p>
    <w:p>
      <w:r>
        <w:t xml:space="preserve">(1) Die geschäftsführenden Direktoren haben jeden Wechsel der Verwaltungsratsmitglieder unverzüglich in den Gesellschaftsblättern bekannt zu machen und die Bekanntmachung zum Handelsregister einzureichen. Sie haben jede Änderung der geschäftsführenden Direktoren oder der Vertretungsbefugnis eines geschäftsführenden Direktors zur Eintragung in das Handelsregister anzumelden. Sie haben weiterhin die Wahl des Verwaltungsratsvorsitzenden und seines Stellvertreters sowie jede Änderung in der Person des Verwaltungsratsvorsitzenden oder seines Stellvertreters zum Handelsregister anzumelden.</w:t>
      </w:r>
    </w:p>
    <w:p>
      <w:r>
        <w:t xml:space="preserve">(2) Die neuen geschäftsführenden Direktoren haben in der Anmeldung zu versichern, dass keine Umstände vorliegen, die ihrer Bestellung nach § 40 Abs. 1 Satz 4 entgegenstehen und dass sie über ihre unbeschränkte Auskunftspflicht gegenüber dem Gericht belehrt worden sind. § 37 Abs. 2 Satz 2 des Aktiengesetzes ist anzuwenden.</w:t>
      </w:r>
    </w:p>
    <w:p>
      <w:r>
        <w:t xml:space="preserve">(3) § 81 Abs. 2 des Aktiengesetzes gilt für die geschäftsführenden Direktoren entsprechend.</w:t>
      </w:r>
    </w:p>
    <w:p>
      <w:r>
        <w:rPr>
          <w:color w:val="555555"/>
          <w:sz w:val="17"/>
        </w:rPr>
        <w:t xml:space="preserve">Zitiervorschlag: § 46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