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SEAG — Rechtsverhältnisse der Mitglieder des Verwaltungsrats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Vergütung der Mitglieder des Verwaltungsrats gilt § 113 des Aktiengesetzes entsprechend.</w:t>
      </w:r>
    </w:p>
    <w:p>
      <w:r>
        <w:t xml:space="preserve">(2) Für die Gewährung von Krediten an Mitglieder des Verwaltungsrats und für sonstige Verträge mit Mitgliedern des Verwaltungsrats gelten die §§ 114 und 115 des Aktiengesetzes entsprechend.</w:t>
      </w:r>
    </w:p>
    <w:p>
      <w:r>
        <w:rPr>
          <w:color w:val="555555"/>
          <w:sz w:val="17"/>
        </w:rPr>
        <w:t xml:space="preserve">Zitiervorschlag: § 38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