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SEAG — Einberufung des Verwaltungsrats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Jedes Verwaltungsratsmitglied kann unter Angabe des Zwecks und der Gründe verlangen, dass der Vorsitzende des Verwaltungsrats unverzüglich den Verwaltungsrat einberuft. Die Sitzung muss binnen zwei Wochen nach der Einberufung stattfinden.</w:t>
      </w:r>
    </w:p>
    <w:p>
      <w:r>
        <w:t xml:space="preserve">(2) Wird dem Verlangen nicht entsprochen, so kann das Verwaltungsratsmitglied unter Mitteilung des Sachverhalts und der Angabe einer Tagesordnung selbst den Verwaltungsrat einberufen.</w:t>
      </w:r>
    </w:p>
    <w:p>
      <w:r>
        <w:rPr>
          <w:color w:val="555555"/>
          <w:sz w:val="17"/>
        </w:rPr>
        <w:t xml:space="preserve">Zitiervorschlag: § 37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