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SEAG — Beschlussfassung</w:t>
      </w:r>
    </w:p>
    <w:p>
      <w:r>
        <w:rPr>
          <w:color w:val="555555"/>
          <w:sz w:val="18"/>
        </w:rPr>
        <w:t xml:space="preserve">SE-Ausführungsgesetz</w:t>
      </w:r>
    </w:p>
    <w:p>
      <w:r>
        <w:rPr>
          <w:color w:val="555555"/>
          <w:sz w:val="18"/>
        </w:rPr>
        <w:t xml:space="preserve">Stand: 10.06.2019 (konsolidierte Textfassung, kein amtliches Inkrafttretensdatum)</w:t>
      </w:r>
    </w:p>
    <w:p>
      <w:r>
        <w:t xml:space="preserve">(1) Abwesende Mitglieder können dadurch an der Beschlussfassung des Verwaltungsrats und seiner Ausschüsse teilnehmen, dass sie schriftliche Stimmabgaben überreichen lassen. Die schriftlichen Stimmabgaben können durch andere Mitglieder überreicht werden. Sie können auch durch Personen, die nicht dem Verwaltungsrat angehören, übergeben werden, wenn diese nach § 109 Abs. 3 des Aktiengesetzes zur Teilnahme an der Sitzung berechtigt sind.</w:t>
      </w:r>
    </w:p>
    <w:p>
      <w:r>
        <w:t xml:space="preserve">(2) Schriftliche, fernmündliche oder andere vergleichbare Formen der Beschlussfassung des Verwaltungsrats und seiner Ausschüsse sind vorbehaltlich einer näheren Regelung durch die Satzung oder eine Geschäftsordnung des Verwaltungsrats nur zulässig, wenn kein Mitglied diesem Verfahren widerspricht.</w:t>
      </w:r>
    </w:p>
    <w:p>
      <w:r>
        <w:t xml:space="preserve">(3) Ist ein geschäftsführender Direktor, der zugleich Mitglied des Verwaltungsrats ist, aus rechtlichen Gründen gehindert, an der Beschlussfassung im Verwaltungsrat teilzunehmen, hat insoweit der Vorsitzende des Verwaltungsrats eine zusätzliche Stimme.</w:t>
      </w:r>
    </w:p>
    <w:p>
      <w:r>
        <w:rPr>
          <w:color w:val="555555"/>
          <w:sz w:val="17"/>
        </w:rPr>
        <w:t xml:space="preserve">Zitiervorschlag: § 35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