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SEAG — Anfechtung der Wahl von Verwaltungsratsmitgliedern</w:t>
      </w:r>
    </w:p>
    <w:p>
      <w:r>
        <w:rPr>
          <w:color w:val="555555"/>
          <w:sz w:val="18"/>
        </w:rPr>
        <w:t xml:space="preserve">SE-Ausführungsgesetz</w:t>
      </w:r>
    </w:p>
    <w:p>
      <w:r>
        <w:rPr>
          <w:color w:val="555555"/>
          <w:sz w:val="18"/>
        </w:rPr>
        <w:t xml:space="preserve">Stand: 10.06.2019 (konsolidierte Textfassung, kein amtliches Inkrafttretensdatum)</w:t>
      </w:r>
    </w:p>
    <w:p>
      <w:r>
        <w:t xml:space="preserve">Für die Anfechtung der Wahl von Verwaltungsratsmitgliedern findet § 251 des Aktiengesetzes mit der Maßgabe Anwendung, dass das gesetzwidrige Zustandekommen von Wahlvorschlägen für die Arbeitnehmervertreter im Verwaltungsrat nur nach den Vorschriften der Mitgliedstaaten über die Besetzung der ihnen zugewiesenen Sitze geltend gemacht werden kann. Für die Arbeitnehmervertreter aus dem Inland gilt § 37 Abs. 2 des SE-Beteiligungsgesetzes.</w:t>
      </w:r>
    </w:p>
    <w:p>
      <w:r>
        <w:rPr>
          <w:color w:val="555555"/>
          <w:sz w:val="17"/>
        </w:rPr>
        <w:t xml:space="preserve">Zitiervorschlag: § 32 SEAG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https://recht.nulegal.eu/gesetze/SEAG/32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