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SEAG — Nichtigkeit der Wahl von Verwaltungsratsmitgliedern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Wahl eines Verwaltungsratsmitglieds durch die Hauptversammlung ist außer im Fall des § 241 Nr. 1, 2 und 5 des Aktiengesetzes nur dann nichtig, wenn</w:t>
      </w:r>
    </w:p>
    <w:p>
      <w:pPr>
        <w:ind w:left="420"/>
      </w:pPr>
      <w:r>
        <w:t xml:space="preserve">1. der Verwaltungsrat unter Verstoß gegen § 24 Abs. 2, § 25 Abs. 2 Satz 1 oder § 26 Abs. 3 zusammengesetzt wird;</w:t>
      </w:r>
    </w:p>
    <w:p>
      <w:pPr>
        <w:ind w:left="420"/>
      </w:pPr>
      <w:r>
        <w:t xml:space="preserve">2. durch die Wahl die gesetzliche Höchstzahl der Verwaltungsratsmitglieder überschritten wird (§ 23);</w:t>
      </w:r>
    </w:p>
    <w:p>
      <w:pPr>
        <w:ind w:left="420"/>
      </w:pPr>
      <w:r>
        <w:t xml:space="preserve">3. die gewählte Person nach Artikel 47 Abs. 2 der Verordnung bei Beginn ihrer Amtszeit nicht Verwaltungsratsmitglied sein kann.</w:t>
      </w:r>
    </w:p>
    <w:p>
      <w:r>
        <w:t xml:space="preserve">(2) Für die Parteifähigkeit für die Klage auf Feststellung, dass die Wahl eines Verwaltungsratsmitglieds nichtig ist, gilt § 250 Abs. 2 des Aktiengesetzes entsprechend. Parteifähig ist auch der SE-Betriebsrat.</w:t>
      </w:r>
    </w:p>
    <w:p>
      <w:r>
        <w:t xml:space="preserve">(3) Erhebt ein Aktionär, ein Mitglied des Verwaltungsrats oder ein nach Absatz 2 Parteifähiger gegen die Gesellschaft Klage auf Feststellung, dass die Wahl eines Verwaltungsratsmitglieds nichtig ist, so gelten § 246 Abs. 2, 3 Satz 1 bis 4, Abs. 4, die §§ 247, 248 Abs. 1 Satz 2, die §§ 248a und 249 Abs. 2 des Aktiengesetzes entsprechend. Es ist nicht ausgeschlossen, die Nichtigkeit auf andere Weise als durch Erhebung der Klage geltend zu machen.</w:t>
      </w:r>
    </w:p>
    <w:p>
      <w:r>
        <w:rPr>
          <w:color w:val="555555"/>
          <w:sz w:val="17"/>
        </w:rPr>
        <w:t xml:space="preserve">Zitiervorschlag: § 31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